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000000"/>
          <w:sz w:val="28"/>
        </w:rPr>
      </w:pPr>
      <w:bookmarkStart w:id="0" w:name="_GoBack"/>
      <w:bookmarkEnd w:id="0"/>
      <w:r>
        <w:rPr>
          <w:rFonts w:hint="eastAsia"/>
          <w:color w:val="000000"/>
          <w:sz w:val="28"/>
        </w:rPr>
        <w:t>附件2：</w:t>
      </w:r>
    </w:p>
    <w:p>
      <w:pPr>
        <w:spacing w:line="400" w:lineRule="exact"/>
        <w:jc w:val="center"/>
        <w:rPr>
          <w:rFonts w:ascii="黑体" w:hAnsi="宋体" w:eastAsia="黑体"/>
          <w:color w:val="000000"/>
          <w:sz w:val="32"/>
          <w:szCs w:val="32"/>
        </w:rPr>
      </w:pPr>
      <w:r>
        <w:rPr>
          <w:rFonts w:hint="eastAsia" w:ascii="黑体" w:eastAsia="黑体"/>
          <w:bCs/>
          <w:color w:val="000000"/>
          <w:sz w:val="32"/>
          <w:szCs w:val="32"/>
        </w:rPr>
        <w:t>余姚市招聘卫技类事业人员</w:t>
      </w:r>
      <w:r>
        <w:rPr>
          <w:rFonts w:hint="eastAsia" w:ascii="黑体" w:hAnsi="宋体" w:eastAsia="黑体"/>
          <w:color w:val="000000"/>
          <w:sz w:val="32"/>
          <w:szCs w:val="32"/>
        </w:rPr>
        <w:t>考察不宜聘用为事业人员条件</w:t>
      </w:r>
    </w:p>
    <w:p>
      <w:pPr>
        <w:spacing w:line="400" w:lineRule="exact"/>
        <w:jc w:val="center"/>
        <w:rPr>
          <w:rFonts w:ascii="黑体" w:hAnsi="宋体" w:eastAsia="黑体"/>
          <w:color w:val="000000"/>
          <w:sz w:val="32"/>
          <w:szCs w:val="32"/>
        </w:rPr>
      </w:pPr>
    </w:p>
    <w:p>
      <w:pPr>
        <w:snapToGrid w:val="0"/>
        <w:spacing w:line="560" w:lineRule="exact"/>
        <w:ind w:firstLine="602" w:firstLineChars="200"/>
        <w:rPr>
          <w:b/>
        </w:rPr>
      </w:pPr>
      <w:r>
        <w:rPr>
          <w:rFonts w:hint="eastAsia" w:ascii="仿宋_GB2312" w:eastAsia="仿宋_GB2312"/>
          <w:b/>
          <w:sz w:val="30"/>
        </w:rPr>
        <w:t>考察对象有下列情形之一的确定为不宜聘用为事业人员：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一、曾有严重违反党的路线、方针、政策和国家法律的行为，并经有关部门认定的；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二、曾受到开除中国共产党党籍处分、开除中国共产主义青年团团籍处分的；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三、曾受过劳动教养的或近两年内受到行政拘留、司法拘留的； 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四、曾以营利为目的、为赌博提供条件以及参与赌博赌资较大，被有关部门处罚的；或曾组织、利用迷信活动，扰乱社会秩序、损害他人身体健康，被有关部门处罚的；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五、曾被有关部门认定参与邪教、吸毒、色情、盗窃、贪污、贿赂、</w:t>
      </w:r>
    </w:p>
    <w:p>
      <w:pPr>
        <w:spacing w:line="460" w:lineRule="exact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诈骗等违法犯罪活动的；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六、受行政警告处分未满一年、受行政记过及以上处分未满两年的，或受党、团内警告未满一年或受严重警告及以上处分未满两年的，或在高校学习期间受警告、严重警告处分未满一年或受记过以上处分未满两年的;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七、近两年内，在单位工作年度考核中有一次及以上被确定为不合格的，或因严重违反纪律、规章制度而被单位依法解除劳动（聘用）合同未满一年的；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八、不符合报考资格条件，或在招聘过程中违纪舞弊、弄虚作假行为的； 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九、有不宜聘用到事业单位工作的其它情形。</w:t>
      </w:r>
    </w:p>
    <w:p>
      <w:pPr>
        <w:spacing w:line="400" w:lineRule="exact"/>
        <w:ind w:firstLine="560"/>
        <w:jc w:val="left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因涉嫌违法违纪正在接受审计、纪律审查，或者涉嫌犯罪，司法程序尚未终结的，可暂缓作出考察结论。自考察结束后30天内，上述审计、审查或司法程序仍未终结的，考察结论为不宜聘用为事业人员。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1B5"/>
    <w:rsid w:val="004731B5"/>
    <w:rsid w:val="00AD5A35"/>
    <w:rsid w:val="3FE3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88</Words>
  <Characters>502</Characters>
  <Lines>4</Lines>
  <Paragraphs>1</Paragraphs>
  <TotalTime>1</TotalTime>
  <ScaleCrop>false</ScaleCrop>
  <LinksUpToDate>false</LinksUpToDate>
  <CharactersWithSpaces>589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2019-11-13T01:12:00Z</dcterms:created>
  <dc:creator>lenovo</dc:creator>
  <cp:lastModifiedBy>Administrator</cp:lastModifiedBy>
  <dcterms:modified xsi:type="dcterms:W3CDTF">2019-11-13T08:23:41Z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