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5" w:type="dxa"/>
        <w:tblCellMar>
          <w:left w:w="0" w:type="dxa"/>
          <w:right w:w="0" w:type="dxa"/>
        </w:tblCellMar>
        <w:tblLook w:val="04A0"/>
      </w:tblPr>
      <w:tblGrid>
        <w:gridCol w:w="8606"/>
      </w:tblGrid>
      <w:tr w:rsidR="00E22594" w:rsidRPr="00E22594">
        <w:trPr>
          <w:tblCellSpacing w:w="75" w:type="dxa"/>
        </w:trPr>
        <w:tc>
          <w:tcPr>
            <w:tcW w:w="0" w:type="auto"/>
            <w:vAlign w:val="center"/>
            <w:hideMark/>
          </w:tcPr>
          <w:p w:rsidR="00E22594" w:rsidRPr="00E22594" w:rsidRDefault="00E22594" w:rsidP="00E22594">
            <w:pPr>
              <w:widowControl/>
              <w:jc w:val="center"/>
              <w:rPr>
                <w:rFonts w:ascii="宋体" w:eastAsia="宋体" w:hAnsi="宋体" w:cs="宋体"/>
                <w:kern w:val="0"/>
                <w:sz w:val="24"/>
                <w:szCs w:val="24"/>
              </w:rPr>
            </w:pPr>
            <w:r w:rsidRPr="00E22594">
              <w:rPr>
                <w:rFonts w:ascii="FZXiaoBiaoSong-B05S" w:eastAsia="宋体" w:hAnsi="FZXiaoBiaoSong-B05S" w:cs="宋体"/>
                <w:color w:val="244FA2"/>
                <w:kern w:val="0"/>
                <w:sz w:val="44"/>
              </w:rPr>
              <w:t>关于进一步贯彻落实《传统医学师承和确有专长人员医师资格考核考试办法》的通知</w:t>
            </w:r>
          </w:p>
        </w:tc>
      </w:tr>
      <w:tr w:rsidR="00E22594" w:rsidRPr="00E22594">
        <w:trPr>
          <w:tblCellSpacing w:w="75" w:type="dxa"/>
        </w:trPr>
        <w:tc>
          <w:tcPr>
            <w:tcW w:w="0" w:type="auto"/>
            <w:vAlign w:val="center"/>
            <w:hideMark/>
          </w:tcPr>
          <w:p w:rsidR="00E22594" w:rsidRPr="00E22594" w:rsidRDefault="00E22594" w:rsidP="00E22594">
            <w:pPr>
              <w:widowControl/>
              <w:jc w:val="center"/>
              <w:rPr>
                <w:rFonts w:ascii="宋体" w:eastAsia="宋体" w:hAnsi="宋体" w:cs="宋体"/>
                <w:kern w:val="0"/>
                <w:sz w:val="24"/>
                <w:szCs w:val="24"/>
              </w:rPr>
            </w:pPr>
          </w:p>
        </w:tc>
      </w:tr>
      <w:tr w:rsidR="00E22594" w:rsidRPr="00E22594">
        <w:trPr>
          <w:tblCellSpacing w:w="75" w:type="dxa"/>
        </w:trPr>
        <w:tc>
          <w:tcPr>
            <w:tcW w:w="0" w:type="auto"/>
            <w:vAlign w:val="center"/>
            <w:hideMark/>
          </w:tcPr>
          <w:p w:rsidR="00E22594" w:rsidRPr="00E22594" w:rsidRDefault="00E22594" w:rsidP="00E22594">
            <w:pPr>
              <w:widowControl/>
              <w:jc w:val="center"/>
              <w:rPr>
                <w:rFonts w:ascii="宋体" w:eastAsia="宋体" w:hAnsi="宋体" w:cs="宋体"/>
                <w:kern w:val="0"/>
                <w:sz w:val="24"/>
                <w:szCs w:val="24"/>
              </w:rPr>
            </w:pPr>
          </w:p>
        </w:tc>
      </w:tr>
      <w:tr w:rsidR="00E22594" w:rsidRPr="00E22594">
        <w:trPr>
          <w:tblCellSpacing w:w="75" w:type="dxa"/>
        </w:trPr>
        <w:tc>
          <w:tcPr>
            <w:tcW w:w="0" w:type="auto"/>
            <w:vAlign w:val="center"/>
            <w:hideMark/>
          </w:tcPr>
          <w:p w:rsidR="00E22594" w:rsidRPr="00E22594" w:rsidRDefault="00E22594" w:rsidP="00E22594">
            <w:pPr>
              <w:widowControl/>
              <w:jc w:val="left"/>
              <w:rPr>
                <w:rFonts w:ascii="宋体" w:eastAsia="宋体" w:hAnsi="宋体" w:cs="宋体"/>
                <w:kern w:val="0"/>
                <w:sz w:val="24"/>
                <w:szCs w:val="24"/>
              </w:rPr>
            </w:pPr>
          </w:p>
        </w:tc>
      </w:tr>
    </w:tbl>
    <w:p w:rsidR="00E22594" w:rsidRPr="00E22594" w:rsidRDefault="00E22594" w:rsidP="00E22594">
      <w:pPr>
        <w:widowControl/>
        <w:jc w:val="left"/>
        <w:rPr>
          <w:rFonts w:ascii="宋体" w:eastAsia="宋体" w:hAnsi="宋体" w:cs="宋体"/>
          <w:vanish/>
          <w:kern w:val="0"/>
          <w:sz w:val="24"/>
          <w:szCs w:val="24"/>
        </w:rPr>
      </w:pPr>
    </w:p>
    <w:tbl>
      <w:tblPr>
        <w:tblW w:w="5000" w:type="pct"/>
        <w:tblCellSpacing w:w="75" w:type="dxa"/>
        <w:tblCellMar>
          <w:left w:w="0" w:type="dxa"/>
          <w:right w:w="0" w:type="dxa"/>
        </w:tblCellMar>
        <w:tblLook w:val="04A0"/>
      </w:tblPr>
      <w:tblGrid>
        <w:gridCol w:w="8606"/>
      </w:tblGrid>
      <w:tr w:rsidR="00E22594" w:rsidRPr="00E22594">
        <w:trPr>
          <w:tblCellSpacing w:w="75" w:type="dxa"/>
        </w:trPr>
        <w:tc>
          <w:tcPr>
            <w:tcW w:w="0" w:type="auto"/>
            <w:vAlign w:val="center"/>
            <w:hideMark/>
          </w:tcPr>
          <w:p w:rsidR="00E22594" w:rsidRPr="00E22594" w:rsidRDefault="00E22594" w:rsidP="00E22594">
            <w:pPr>
              <w:widowControl/>
              <w:jc w:val="right"/>
              <w:rPr>
                <w:rFonts w:ascii="宋体" w:eastAsia="宋体" w:hAnsi="宋体" w:cs="宋体"/>
                <w:kern w:val="0"/>
                <w:sz w:val="24"/>
                <w:szCs w:val="24"/>
              </w:rPr>
            </w:pPr>
          </w:p>
        </w:tc>
      </w:tr>
      <w:tr w:rsidR="00E22594" w:rsidRPr="00E22594">
        <w:trPr>
          <w:tblCellSpacing w:w="75" w:type="dxa"/>
        </w:trPr>
        <w:tc>
          <w:tcPr>
            <w:tcW w:w="0" w:type="auto"/>
            <w:vAlign w:val="center"/>
            <w:hideMark/>
          </w:tcPr>
          <w:p w:rsidR="00E22594" w:rsidRPr="00E22594" w:rsidRDefault="00E22594" w:rsidP="00E22594">
            <w:pPr>
              <w:widowControl/>
              <w:spacing w:before="100" w:beforeAutospacing="1" w:after="100" w:afterAutospacing="1"/>
              <w:jc w:val="right"/>
              <w:rPr>
                <w:rFonts w:ascii="FangSong_GB2312" w:eastAsia="FangSong_GB2312" w:hAnsi="FangSong_GB2312" w:cs="宋体"/>
                <w:kern w:val="0"/>
                <w:sz w:val="32"/>
                <w:szCs w:val="32"/>
              </w:rPr>
            </w:pPr>
            <w:r w:rsidRPr="00E22594">
              <w:rPr>
                <w:rFonts w:ascii="FangSong_GB2312" w:eastAsia="FangSong_GB2312" w:hAnsi="FangSong_GB2312" w:cs="宋体" w:hint="eastAsia"/>
                <w:kern w:val="0"/>
                <w:sz w:val="32"/>
                <w:szCs w:val="32"/>
              </w:rPr>
              <w:t>国中医药医政发〔2013〕28号</w:t>
            </w:r>
          </w:p>
          <w:p w:rsidR="00E22594" w:rsidRPr="00E22594" w:rsidRDefault="00E22594" w:rsidP="00E22594">
            <w:pPr>
              <w:widowControl/>
              <w:spacing w:before="100" w:beforeAutospacing="1" w:after="100" w:afterAutospacing="1"/>
              <w:jc w:val="left"/>
              <w:rPr>
                <w:rFonts w:ascii="FangSong_GB2312" w:eastAsia="FangSong_GB2312" w:hAnsi="FangSong_GB2312" w:cs="宋体" w:hint="eastAsia"/>
                <w:kern w:val="0"/>
                <w:sz w:val="32"/>
                <w:szCs w:val="32"/>
              </w:rPr>
            </w:pPr>
            <w:r w:rsidRPr="00E22594">
              <w:rPr>
                <w:rFonts w:ascii="FangSong_GB2312" w:eastAsia="FangSong_GB2312" w:hAnsi="FangSong_GB2312" w:cs="宋体" w:hint="eastAsia"/>
                <w:kern w:val="0"/>
                <w:sz w:val="32"/>
                <w:szCs w:val="32"/>
              </w:rPr>
              <w:t>各省、自治区、直辖市卫生厅局（卫生计生委）、中医药管理局，新疆生产建设兵团卫生局：</w:t>
            </w:r>
            <w:r w:rsidRPr="00E22594">
              <w:rPr>
                <w:rFonts w:ascii="FangSong_GB2312" w:eastAsia="FangSong_GB2312" w:hAnsi="FangSong_GB2312" w:cs="宋体" w:hint="eastAsia"/>
                <w:kern w:val="0"/>
                <w:sz w:val="32"/>
                <w:szCs w:val="32"/>
              </w:rPr>
              <w:br/>
            </w:r>
            <w:r w:rsidRPr="00E22594">
              <w:rPr>
                <w:rFonts w:ascii="宋体" w:eastAsia="宋体" w:hAnsi="宋体" w:cs="宋体" w:hint="eastAsia"/>
                <w:kern w:val="0"/>
                <w:sz w:val="32"/>
                <w:szCs w:val="32"/>
              </w:rPr>
              <w:t>   </w:t>
            </w:r>
            <w:r w:rsidRPr="00E22594">
              <w:rPr>
                <w:rFonts w:ascii="FangSong_GB2312" w:eastAsia="FangSong_GB2312" w:hAnsi="FangSong_GB2312" w:cs="FangSong_GB2312" w:hint="eastAsia"/>
                <w:kern w:val="0"/>
                <w:sz w:val="32"/>
                <w:szCs w:val="32"/>
              </w:rPr>
              <w:t xml:space="preserve"> </w:t>
            </w:r>
            <w:r w:rsidRPr="00E22594">
              <w:rPr>
                <w:rFonts w:ascii="FangSong_GB2312" w:eastAsia="FangSong_GB2312" w:hAnsi="FangSong_GB2312" w:cs="宋体" w:hint="eastAsia"/>
                <w:kern w:val="0"/>
                <w:sz w:val="32"/>
                <w:szCs w:val="32"/>
              </w:rPr>
              <w:t>《传统医学师承和确有专长人员医师资格考核考试办法》（卫生部令第52号）（以下简称52号令）自2007年2月1日起实施以来，在学历教育之外为中医临床医师的培养开辟了一条新的途径，对保持和发扬中医药特色优势、推动中医药传承和发展起到了积极作用。但部分省份对文件的贯彻力度不够，对某些条款理解把握不一致，影响了52号令的实施效果。为进一步贯彻落实52号令，切实做好传统医学师承和确有专长人员医师资格考核考试工作，现就有关问题通知如下：</w:t>
            </w:r>
            <w:r w:rsidRPr="00E22594">
              <w:rPr>
                <w:rFonts w:ascii="FangSong_GB2312" w:eastAsia="FangSong_GB2312" w:hAnsi="FangSong_GB2312" w:cs="宋体" w:hint="eastAsia"/>
                <w:kern w:val="0"/>
                <w:sz w:val="32"/>
                <w:szCs w:val="32"/>
              </w:rPr>
              <w:br/>
            </w:r>
            <w:r w:rsidRPr="00E22594">
              <w:rPr>
                <w:rFonts w:ascii="宋体" w:eastAsia="宋体" w:hAnsi="宋体" w:cs="宋体" w:hint="eastAsia"/>
                <w:kern w:val="0"/>
                <w:sz w:val="32"/>
                <w:szCs w:val="32"/>
              </w:rPr>
              <w:t>   </w:t>
            </w:r>
            <w:r w:rsidRPr="00E22594">
              <w:rPr>
                <w:rFonts w:ascii="FangSong_GB2312" w:eastAsia="FangSong_GB2312" w:hAnsi="FangSong_GB2312" w:cs="FangSong_GB2312" w:hint="eastAsia"/>
                <w:kern w:val="0"/>
                <w:sz w:val="32"/>
                <w:szCs w:val="32"/>
              </w:rPr>
              <w:t xml:space="preserve"> </w:t>
            </w:r>
            <w:r w:rsidRPr="00E22594">
              <w:rPr>
                <w:rFonts w:ascii="FangSong_GB2312" w:eastAsia="FangSong_GB2312" w:hAnsi="FangSong_GB2312" w:cs="宋体" w:hint="eastAsia"/>
                <w:kern w:val="0"/>
                <w:sz w:val="32"/>
                <w:szCs w:val="32"/>
              </w:rPr>
              <w:t>一、传统医学师承和确有专长人员医师资格考核考试是国家制定的一项保障促进中医传承的重要政策，各省级中医药管理部门要高度重视此项工作，认真组织开展本辖区的传统医学师承和确有专长人员医师资格考核考试工作。同时，要加强政策宣传，做好政策解释，提高知晓率，鼓励符</w:t>
            </w:r>
            <w:r w:rsidRPr="00E22594">
              <w:rPr>
                <w:rFonts w:ascii="FangSong_GB2312" w:eastAsia="FangSong_GB2312" w:hAnsi="FangSong_GB2312" w:cs="宋体" w:hint="eastAsia"/>
                <w:kern w:val="0"/>
                <w:sz w:val="32"/>
                <w:szCs w:val="32"/>
              </w:rPr>
              <w:lastRenderedPageBreak/>
              <w:t>合条件的人员参加师承或确有专长医师资格考核考试。尚未开展此项工作的省份应进一步提高认识，务必于2013年年底前启动本辖区传统医学师承和确有专长人员医师资格考核考试工作。</w:t>
            </w:r>
            <w:r w:rsidRPr="00E22594">
              <w:rPr>
                <w:rFonts w:ascii="FangSong_GB2312" w:eastAsia="FangSong_GB2312" w:hAnsi="FangSong_GB2312" w:cs="宋体" w:hint="eastAsia"/>
                <w:kern w:val="0"/>
                <w:sz w:val="32"/>
                <w:szCs w:val="32"/>
              </w:rPr>
              <w:br/>
            </w:r>
            <w:r w:rsidRPr="00E22594">
              <w:rPr>
                <w:rFonts w:ascii="宋体" w:eastAsia="宋体" w:hAnsi="宋体" w:cs="宋体" w:hint="eastAsia"/>
                <w:kern w:val="0"/>
                <w:sz w:val="32"/>
                <w:szCs w:val="32"/>
              </w:rPr>
              <w:t>   </w:t>
            </w:r>
            <w:r w:rsidRPr="00E22594">
              <w:rPr>
                <w:rFonts w:ascii="FangSong_GB2312" w:eastAsia="FangSong_GB2312" w:hAnsi="FangSong_GB2312" w:cs="FangSong_GB2312" w:hint="eastAsia"/>
                <w:kern w:val="0"/>
                <w:sz w:val="32"/>
                <w:szCs w:val="32"/>
              </w:rPr>
              <w:t xml:space="preserve"> </w:t>
            </w:r>
            <w:r w:rsidRPr="00E22594">
              <w:rPr>
                <w:rFonts w:ascii="FangSong_GB2312" w:eastAsia="FangSong_GB2312" w:hAnsi="FangSong_GB2312" w:cs="宋体" w:hint="eastAsia"/>
                <w:kern w:val="0"/>
                <w:sz w:val="32"/>
                <w:szCs w:val="32"/>
              </w:rPr>
              <w:t>二、各省级中医药管理部门可根据52号令第十一条规定，制定跟师学习的形式、内容，并报国家中医药管理局医政司备案。各地应充分发挥各级中医药管理部门和各级医疗机构的作用，严格师承指导老师和师承人员的资格审核，运用抽查学习笔记、检查临床实践记录等方式加强对师承人员跟师学习过程的监管，防止重形式、轻内容、走过场，确保师承人员跟师学习效果。任何机构和个人不得以规模招生形式举办批量师承培训班。</w:t>
            </w:r>
            <w:r w:rsidRPr="00E22594">
              <w:rPr>
                <w:rFonts w:ascii="FangSong_GB2312" w:eastAsia="FangSong_GB2312" w:hAnsi="FangSong_GB2312" w:cs="宋体" w:hint="eastAsia"/>
                <w:kern w:val="0"/>
                <w:sz w:val="32"/>
                <w:szCs w:val="32"/>
              </w:rPr>
              <w:br/>
            </w:r>
            <w:r w:rsidRPr="00E22594">
              <w:rPr>
                <w:rFonts w:ascii="宋体" w:eastAsia="宋体" w:hAnsi="宋体" w:cs="宋体" w:hint="eastAsia"/>
                <w:kern w:val="0"/>
                <w:sz w:val="32"/>
                <w:szCs w:val="32"/>
              </w:rPr>
              <w:t>   </w:t>
            </w:r>
            <w:r w:rsidRPr="00E22594">
              <w:rPr>
                <w:rFonts w:ascii="FangSong_GB2312" w:eastAsia="FangSong_GB2312" w:hAnsi="FangSong_GB2312" w:cs="FangSong_GB2312" w:hint="eastAsia"/>
                <w:kern w:val="0"/>
                <w:sz w:val="32"/>
                <w:szCs w:val="32"/>
              </w:rPr>
              <w:t xml:space="preserve"> </w:t>
            </w:r>
            <w:r w:rsidRPr="00E22594">
              <w:rPr>
                <w:rFonts w:ascii="FangSong_GB2312" w:eastAsia="FangSong_GB2312" w:hAnsi="FangSong_GB2312" w:cs="宋体" w:hint="eastAsia"/>
                <w:kern w:val="0"/>
                <w:sz w:val="32"/>
                <w:szCs w:val="32"/>
              </w:rPr>
              <w:t>三、在非户籍地跟师学习人员，经核准其指导老师执业的卫生行政部门、中医药管理部门审核同意后，向指导老师执业所在地的省级中医药管理部门提出出师考核申请。</w:t>
            </w:r>
            <w:r w:rsidRPr="00E22594">
              <w:rPr>
                <w:rFonts w:ascii="FangSong_GB2312" w:eastAsia="FangSong_GB2312" w:hAnsi="FangSong_GB2312" w:cs="宋体" w:hint="eastAsia"/>
                <w:kern w:val="0"/>
                <w:sz w:val="32"/>
                <w:szCs w:val="32"/>
              </w:rPr>
              <w:br/>
            </w:r>
            <w:r w:rsidRPr="00E22594">
              <w:rPr>
                <w:rFonts w:ascii="宋体" w:eastAsia="宋体" w:hAnsi="宋体" w:cs="宋体" w:hint="eastAsia"/>
                <w:kern w:val="0"/>
                <w:sz w:val="32"/>
                <w:szCs w:val="32"/>
              </w:rPr>
              <w:t>   </w:t>
            </w:r>
            <w:r w:rsidRPr="00E22594">
              <w:rPr>
                <w:rFonts w:ascii="FangSong_GB2312" w:eastAsia="FangSong_GB2312" w:hAnsi="FangSong_GB2312" w:cs="FangSong_GB2312" w:hint="eastAsia"/>
                <w:kern w:val="0"/>
                <w:sz w:val="32"/>
                <w:szCs w:val="32"/>
              </w:rPr>
              <w:t xml:space="preserve"> </w:t>
            </w:r>
            <w:r w:rsidRPr="00E22594">
              <w:rPr>
                <w:rFonts w:ascii="FangSong_GB2312" w:eastAsia="FangSong_GB2312" w:hAnsi="FangSong_GB2312" w:cs="宋体" w:hint="eastAsia"/>
                <w:kern w:val="0"/>
                <w:sz w:val="32"/>
                <w:szCs w:val="32"/>
              </w:rPr>
              <w:t>四、《传统医学出师考核和确有专长考核实施方案（试行）》（国中医药发〔2007〕47号）中要求对确有专长考核的评议评价实行“选30名居民和30名患者对确有专长人员技术专长进行评议评价”，由于容易流于形式，因此停止执行此条规定。</w:t>
            </w:r>
            <w:r w:rsidRPr="00E22594">
              <w:rPr>
                <w:rFonts w:ascii="FangSong_GB2312" w:eastAsia="FangSong_GB2312" w:hAnsi="FangSong_GB2312" w:cs="宋体" w:hint="eastAsia"/>
                <w:kern w:val="0"/>
                <w:sz w:val="32"/>
                <w:szCs w:val="32"/>
              </w:rPr>
              <w:br/>
            </w:r>
            <w:r w:rsidRPr="00E22594">
              <w:rPr>
                <w:rFonts w:ascii="宋体" w:eastAsia="宋体" w:hAnsi="宋体" w:cs="宋体" w:hint="eastAsia"/>
                <w:kern w:val="0"/>
                <w:sz w:val="32"/>
                <w:szCs w:val="32"/>
              </w:rPr>
              <w:t>   </w:t>
            </w:r>
            <w:r w:rsidRPr="00E22594">
              <w:rPr>
                <w:rFonts w:ascii="FangSong_GB2312" w:eastAsia="FangSong_GB2312" w:hAnsi="FangSong_GB2312" w:cs="FangSong_GB2312" w:hint="eastAsia"/>
                <w:kern w:val="0"/>
                <w:sz w:val="32"/>
                <w:szCs w:val="32"/>
              </w:rPr>
              <w:t xml:space="preserve"> </w:t>
            </w:r>
            <w:r w:rsidRPr="00E22594">
              <w:rPr>
                <w:rFonts w:ascii="FangSong_GB2312" w:eastAsia="FangSong_GB2312" w:hAnsi="FangSong_GB2312" w:cs="宋体" w:hint="eastAsia"/>
                <w:kern w:val="0"/>
                <w:sz w:val="32"/>
                <w:szCs w:val="32"/>
              </w:rPr>
              <w:t>五、各地市级卫生行政部门和中医药管理部门应强化责任，组织实施好确有专长考核工作。对申请确有专长考</w:t>
            </w:r>
            <w:r w:rsidRPr="00E22594">
              <w:rPr>
                <w:rFonts w:ascii="FangSong_GB2312" w:eastAsia="FangSong_GB2312" w:hAnsi="FangSong_GB2312" w:cs="宋体" w:hint="eastAsia"/>
                <w:kern w:val="0"/>
                <w:sz w:val="32"/>
                <w:szCs w:val="32"/>
              </w:rPr>
              <w:lastRenderedPageBreak/>
              <w:t>核人员的资质应严格审查，确保资料真实可靠。要规范考试程序，加强对考官的培训，统一考核标准，严肃考风考纪，增大工作透明度，确保公正性和公平性，杜绝不符合要求的人员参加考核。</w:t>
            </w:r>
            <w:r w:rsidRPr="00E22594">
              <w:rPr>
                <w:rFonts w:ascii="FangSong_GB2312" w:eastAsia="FangSong_GB2312" w:hAnsi="FangSong_GB2312" w:cs="宋体" w:hint="eastAsia"/>
                <w:kern w:val="0"/>
                <w:sz w:val="32"/>
                <w:szCs w:val="32"/>
              </w:rPr>
              <w:br/>
            </w:r>
            <w:r w:rsidRPr="00E22594">
              <w:rPr>
                <w:rFonts w:ascii="宋体" w:eastAsia="宋体" w:hAnsi="宋体" w:cs="宋体" w:hint="eastAsia"/>
                <w:kern w:val="0"/>
                <w:sz w:val="32"/>
                <w:szCs w:val="32"/>
              </w:rPr>
              <w:t>   </w:t>
            </w:r>
            <w:r w:rsidRPr="00E22594">
              <w:rPr>
                <w:rFonts w:ascii="FangSong_GB2312" w:eastAsia="FangSong_GB2312" w:hAnsi="FangSong_GB2312" w:cs="FangSong_GB2312" w:hint="eastAsia"/>
                <w:kern w:val="0"/>
                <w:sz w:val="32"/>
                <w:szCs w:val="32"/>
              </w:rPr>
              <w:t xml:space="preserve"> </w:t>
            </w:r>
            <w:r w:rsidRPr="00E22594">
              <w:rPr>
                <w:rFonts w:ascii="FangSong_GB2312" w:eastAsia="FangSong_GB2312" w:hAnsi="FangSong_GB2312" w:cs="宋体" w:hint="eastAsia"/>
                <w:kern w:val="0"/>
                <w:sz w:val="32"/>
                <w:szCs w:val="32"/>
              </w:rPr>
              <w:t>六、《传统医学师承出师证书》和《传统医学医术确有专长证书》是对传统医学师承和确有专长人员具备参加国家医师资格考试资格的评价和认定，不能作为有效行医证件使用。</w:t>
            </w:r>
            <w:r w:rsidRPr="00E22594">
              <w:rPr>
                <w:rFonts w:ascii="FangSong_GB2312" w:eastAsia="FangSong_GB2312" w:hAnsi="FangSong_GB2312" w:cs="宋体" w:hint="eastAsia"/>
                <w:kern w:val="0"/>
                <w:sz w:val="32"/>
                <w:szCs w:val="32"/>
              </w:rPr>
              <w:br/>
            </w:r>
            <w:r w:rsidRPr="00E22594">
              <w:rPr>
                <w:rFonts w:ascii="宋体" w:eastAsia="宋体" w:hAnsi="宋体" w:cs="宋体" w:hint="eastAsia"/>
                <w:kern w:val="0"/>
                <w:sz w:val="32"/>
                <w:szCs w:val="32"/>
              </w:rPr>
              <w:t>   </w:t>
            </w:r>
            <w:r w:rsidRPr="00E22594">
              <w:rPr>
                <w:rFonts w:ascii="FangSong_GB2312" w:eastAsia="FangSong_GB2312" w:hAnsi="FangSong_GB2312" w:cs="FangSong_GB2312" w:hint="eastAsia"/>
                <w:kern w:val="0"/>
                <w:sz w:val="32"/>
                <w:szCs w:val="32"/>
              </w:rPr>
              <w:t xml:space="preserve"> </w:t>
            </w:r>
            <w:r w:rsidRPr="00E22594">
              <w:rPr>
                <w:rFonts w:ascii="FangSong_GB2312" w:eastAsia="FangSong_GB2312" w:hAnsi="FangSong_GB2312" w:cs="宋体" w:hint="eastAsia"/>
                <w:kern w:val="0"/>
                <w:sz w:val="32"/>
                <w:szCs w:val="32"/>
              </w:rPr>
              <w:t>七、各省级中医药管理部门应积极协调本省发展改革、财政、物价等部门，明确传统医学师承和确有专长人员考核考试收费标准，并争取一定的经费补贴。</w:t>
            </w:r>
          </w:p>
          <w:p w:rsidR="00E22594" w:rsidRPr="00E22594" w:rsidRDefault="00E22594" w:rsidP="00E22594">
            <w:pPr>
              <w:widowControl/>
              <w:spacing w:before="100" w:beforeAutospacing="1" w:after="100" w:afterAutospacing="1"/>
              <w:jc w:val="right"/>
              <w:rPr>
                <w:rFonts w:ascii="FangSong_GB2312" w:eastAsia="FangSong_GB2312" w:hAnsi="FangSong_GB2312" w:cs="宋体"/>
                <w:kern w:val="0"/>
                <w:sz w:val="32"/>
                <w:szCs w:val="32"/>
              </w:rPr>
            </w:pPr>
            <w:r w:rsidRPr="00E22594">
              <w:rPr>
                <w:rFonts w:ascii="FangSong_GB2312" w:eastAsia="FangSong_GB2312" w:hAnsi="FangSong_GB2312" w:cs="宋体" w:hint="eastAsia"/>
                <w:kern w:val="0"/>
                <w:sz w:val="32"/>
                <w:szCs w:val="32"/>
              </w:rPr>
              <w:br/>
              <w:t>国家卫生和计划生育委员会</w:t>
            </w:r>
            <w:r w:rsidRPr="00E22594">
              <w:rPr>
                <w:rFonts w:ascii="宋体" w:eastAsia="宋体" w:hAnsi="宋体" w:cs="宋体" w:hint="eastAsia"/>
                <w:kern w:val="0"/>
                <w:sz w:val="32"/>
                <w:szCs w:val="32"/>
              </w:rPr>
              <w:t>          </w:t>
            </w:r>
            <w:r w:rsidRPr="00E22594">
              <w:rPr>
                <w:rFonts w:ascii="FangSong_GB2312" w:eastAsia="FangSong_GB2312" w:hAnsi="FangSong_GB2312" w:cs="FangSong_GB2312" w:hint="eastAsia"/>
                <w:kern w:val="0"/>
                <w:sz w:val="32"/>
                <w:szCs w:val="32"/>
              </w:rPr>
              <w:t xml:space="preserve"> </w:t>
            </w:r>
            <w:r w:rsidRPr="00E22594">
              <w:rPr>
                <w:rFonts w:ascii="FangSong_GB2312" w:eastAsia="FangSong_GB2312" w:hAnsi="FangSong_GB2312" w:cs="宋体" w:hint="eastAsia"/>
                <w:kern w:val="0"/>
                <w:sz w:val="32"/>
                <w:szCs w:val="32"/>
              </w:rPr>
              <w:t>国家中医药管理局</w:t>
            </w:r>
            <w:r w:rsidRPr="00E22594">
              <w:rPr>
                <w:rFonts w:ascii="FangSong_GB2312" w:eastAsia="FangSong_GB2312" w:hAnsi="FangSong_GB2312" w:cs="宋体" w:hint="eastAsia"/>
                <w:kern w:val="0"/>
                <w:sz w:val="32"/>
                <w:szCs w:val="32"/>
              </w:rPr>
              <w:br/>
              <w:t>2013年4月24日</w:t>
            </w:r>
            <w:r w:rsidRPr="00E22594">
              <w:rPr>
                <w:rFonts w:ascii="宋体" w:eastAsia="宋体" w:hAnsi="宋体" w:cs="宋体" w:hint="eastAsia"/>
                <w:kern w:val="0"/>
                <w:sz w:val="32"/>
                <w:szCs w:val="32"/>
              </w:rPr>
              <w:t>                           </w:t>
            </w:r>
            <w:r w:rsidRPr="00E22594">
              <w:rPr>
                <w:rFonts w:ascii="FangSong_GB2312" w:eastAsia="FangSong_GB2312" w:hAnsi="FangSong_GB2312" w:cs="FangSong_GB2312" w:hint="eastAsia"/>
                <w:kern w:val="0"/>
                <w:sz w:val="32"/>
                <w:szCs w:val="32"/>
              </w:rPr>
              <w:t xml:space="preserve"> 2013</w:t>
            </w:r>
            <w:r w:rsidRPr="00E22594">
              <w:rPr>
                <w:rFonts w:ascii="FangSong_GB2312" w:eastAsia="FangSong_GB2312" w:hAnsi="FangSong_GB2312" w:cs="宋体" w:hint="eastAsia"/>
                <w:kern w:val="0"/>
                <w:sz w:val="32"/>
                <w:szCs w:val="32"/>
              </w:rPr>
              <w:t>年4月24日</w:t>
            </w:r>
            <w:r w:rsidRPr="00E22594">
              <w:rPr>
                <w:rFonts w:ascii="FangSong_GB2312" w:eastAsia="FangSong_GB2312" w:hAnsi="FangSong_GB2312" w:cs="宋体" w:hint="eastAsia"/>
                <w:kern w:val="0"/>
                <w:sz w:val="32"/>
                <w:szCs w:val="32"/>
              </w:rPr>
              <w:br/>
            </w:r>
            <w:r w:rsidRPr="00E22594">
              <w:rPr>
                <w:rFonts w:ascii="宋体" w:eastAsia="宋体" w:hAnsi="宋体" w:cs="宋体" w:hint="eastAsia"/>
                <w:kern w:val="0"/>
                <w:sz w:val="32"/>
                <w:szCs w:val="32"/>
              </w:rPr>
              <w:t> </w:t>
            </w:r>
          </w:p>
        </w:tc>
      </w:tr>
    </w:tbl>
    <w:p w:rsidR="00B20535" w:rsidRPr="00E22594" w:rsidRDefault="00B20535"/>
    <w:sectPr w:rsidR="00B20535" w:rsidRPr="00E2259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0535" w:rsidRDefault="00B20535" w:rsidP="00E22594">
      <w:r>
        <w:separator/>
      </w:r>
    </w:p>
  </w:endnote>
  <w:endnote w:type="continuationSeparator" w:id="1">
    <w:p w:rsidR="00B20535" w:rsidRDefault="00B20535" w:rsidP="00E225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ZXiaoBiaoSong-B05S">
    <w:panose1 w:val="00000000000000000000"/>
    <w:charset w:val="00"/>
    <w:family w:val="roman"/>
    <w:notTrueType/>
    <w:pitch w:val="default"/>
    <w:sig w:usb0="00000000" w:usb1="00000000" w:usb2="00000000" w:usb3="00000000" w:csb0="00000000" w:csb1="00000000"/>
  </w:font>
  <w:font w:name="FangSong_GB2312">
    <w:panose1 w:val="02010609060101010101"/>
    <w:charset w:val="86"/>
    <w:family w:val="modern"/>
    <w:pitch w:val="fixed"/>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0535" w:rsidRDefault="00B20535" w:rsidP="00E22594">
      <w:r>
        <w:separator/>
      </w:r>
    </w:p>
  </w:footnote>
  <w:footnote w:type="continuationSeparator" w:id="1">
    <w:p w:rsidR="00B20535" w:rsidRDefault="00B20535" w:rsidP="00E225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2594"/>
    <w:rsid w:val="00B20535"/>
    <w:rsid w:val="00E225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225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22594"/>
    <w:rPr>
      <w:sz w:val="18"/>
      <w:szCs w:val="18"/>
    </w:rPr>
  </w:style>
  <w:style w:type="paragraph" w:styleId="a4">
    <w:name w:val="footer"/>
    <w:basedOn w:val="a"/>
    <w:link w:val="Char0"/>
    <w:uiPriority w:val="99"/>
    <w:semiHidden/>
    <w:unhideWhenUsed/>
    <w:rsid w:val="00E225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22594"/>
    <w:rPr>
      <w:sz w:val="18"/>
      <w:szCs w:val="18"/>
    </w:rPr>
  </w:style>
  <w:style w:type="character" w:customStyle="1" w:styleId="nrbt1">
    <w:name w:val="nrbt1"/>
    <w:basedOn w:val="a0"/>
    <w:rsid w:val="00E22594"/>
    <w:rPr>
      <w:rFonts w:ascii="FZXiaoBiaoSong-B05S" w:hAnsi="FZXiaoBiaoSong-B05S" w:hint="default"/>
      <w:color w:val="244FA2"/>
      <w:sz w:val="44"/>
      <w:szCs w:val="44"/>
    </w:rPr>
  </w:style>
  <w:style w:type="character" w:customStyle="1" w:styleId="fbsj1">
    <w:name w:val="fbsj1"/>
    <w:basedOn w:val="a0"/>
    <w:rsid w:val="00E22594"/>
    <w:rPr>
      <w:color w:val="A0A0A0"/>
      <w:sz w:val="21"/>
      <w:szCs w:val="21"/>
    </w:rPr>
  </w:style>
  <w:style w:type="paragraph" w:styleId="a5">
    <w:name w:val="Normal (Web)"/>
    <w:basedOn w:val="a"/>
    <w:uiPriority w:val="99"/>
    <w:unhideWhenUsed/>
    <w:rsid w:val="00E2259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195</Words>
  <Characters>1118</Characters>
  <Application>Microsoft Office Word</Application>
  <DocSecurity>0</DocSecurity>
  <Lines>9</Lines>
  <Paragraphs>2</Paragraphs>
  <ScaleCrop>false</ScaleCrop>
  <Company>Microsoft</Company>
  <LinksUpToDate>false</LinksUpToDate>
  <CharactersWithSpaces>1311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2019-10-16T05:25:00Z</dcterms:created>
  <dcterms:modified xsi:type="dcterms:W3CDTF">2019-10-16T05:25:00Z</dcterms:modified>
</cp:coreProperties>
</file>