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contextualSpacing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附件：1</w:t>
      </w:r>
    </w:p>
    <w:p>
      <w:pPr>
        <w:spacing w:line="560" w:lineRule="exact"/>
        <w:contextualSpacing/>
        <w:jc w:val="center"/>
        <w:rPr>
          <w:rFonts w:hint="eastAsia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sz w:val="44"/>
          <w:szCs w:val="44"/>
        </w:rPr>
        <w:t>2019年乌海市蒙中医院公开招聘卫生专业技术人员岗位表</w:t>
      </w:r>
    </w:p>
    <w:bookmarkEnd w:id="0"/>
    <w:tbl>
      <w:tblPr>
        <w:tblStyle w:val="2"/>
        <w:tblW w:w="1011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3030"/>
        <w:gridCol w:w="2307"/>
        <w:gridCol w:w="2617"/>
        <w:gridCol w:w="839"/>
        <w:gridCol w:w="7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</w:rPr>
            </w:pPr>
            <w:r>
              <w:rPr>
                <w:rFonts w:hint="eastAsia" w:ascii="宋体" w:hAnsi="宋体" w:cs="Tahoma"/>
                <w:b/>
                <w:bCs/>
                <w:kern w:val="0"/>
              </w:rPr>
              <w:t>序号</w:t>
            </w:r>
          </w:p>
        </w:tc>
        <w:tc>
          <w:tcPr>
            <w:tcW w:w="3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</w:rPr>
            </w:pPr>
            <w:r>
              <w:rPr>
                <w:rFonts w:hint="eastAsia" w:ascii="宋体" w:hAnsi="宋体" w:cs="Tahoma"/>
                <w:b/>
                <w:bCs/>
                <w:kern w:val="0"/>
              </w:rPr>
              <w:t>科室</w:t>
            </w: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</w:rPr>
            </w:pPr>
            <w:r>
              <w:rPr>
                <w:rFonts w:hint="eastAsia" w:ascii="宋体" w:hAnsi="宋体" w:cs="Tahoma"/>
                <w:b/>
                <w:bCs/>
                <w:kern w:val="0"/>
              </w:rPr>
              <w:t>专业</w:t>
            </w:r>
          </w:p>
        </w:tc>
        <w:tc>
          <w:tcPr>
            <w:tcW w:w="2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</w:rPr>
            </w:pPr>
            <w:r>
              <w:rPr>
                <w:rFonts w:hint="eastAsia" w:ascii="宋体" w:hAnsi="宋体" w:cs="Tahoma"/>
                <w:b/>
                <w:bCs/>
                <w:kern w:val="0"/>
              </w:rPr>
              <w:t>学历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</w:rPr>
            </w:pPr>
            <w:r>
              <w:rPr>
                <w:rFonts w:hint="eastAsia" w:ascii="宋体" w:hAnsi="宋体" w:cs="Tahoma"/>
                <w:b/>
                <w:bCs/>
                <w:kern w:val="0"/>
              </w:rPr>
              <w:t>人数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</w:rPr>
            </w:pPr>
            <w:r>
              <w:rPr>
                <w:rFonts w:hint="eastAsia" w:ascii="宋体" w:hAnsi="宋体" w:cs="Tahoma"/>
                <w:b/>
                <w:bCs/>
                <w:kern w:val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蒙医风湿科、五疗科、沙疗科、蒙医内科、蒙医心身医学科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蒙医学</w:t>
            </w:r>
          </w:p>
        </w:tc>
        <w:tc>
          <w:tcPr>
            <w:tcW w:w="2617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普通全日制本科及以上学历。中级及以上职称，学历可放宽至普通全日制大专学历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普外科、骨伤科、皮肤科、肛肠科、康复中心、老年病科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261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心病科、ICU、、妇科、普外科、急诊科、脑病科、老年病科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261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12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心功能科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261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手麻科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261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急需紧缺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门诊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预防医学或公共卫生</w:t>
            </w:r>
          </w:p>
        </w:tc>
        <w:tc>
          <w:tcPr>
            <w:tcW w:w="26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普通全日制本科及以上学历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26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普通全日制本科学历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ind w:firstLine="180" w:firstLineChars="100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303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护理</w:t>
            </w:r>
          </w:p>
        </w:tc>
        <w:tc>
          <w:tcPr>
            <w:tcW w:w="2307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ind w:firstLine="630" w:firstLineChars="350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蒙医护理</w:t>
            </w:r>
          </w:p>
        </w:tc>
        <w:tc>
          <w:tcPr>
            <w:tcW w:w="26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16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30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2307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2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普通全日制专科及以上学历，蒙汉兼通，具备蒙语书写对话能力，往届毕业生须有执业证。</w:t>
            </w:r>
          </w:p>
        </w:tc>
        <w:tc>
          <w:tcPr>
            <w:tcW w:w="83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30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普通护理</w:t>
            </w:r>
          </w:p>
        </w:tc>
        <w:tc>
          <w:tcPr>
            <w:tcW w:w="2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普通全日制专科（高中起点）及以上学历，有执业证。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65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8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合计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112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18"/>
                <w:szCs w:val="18"/>
              </w:rPr>
            </w:pPr>
          </w:p>
        </w:tc>
      </w:tr>
    </w:tbl>
    <w:p>
      <w:r>
        <w:t xml:space="preserve">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A4828"/>
    <w:rsid w:val="64BA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2019-09-10T01:44:00Z</dcterms:created>
  <dc:creator>Administrator</dc:creator>
  <cp:lastModifiedBy>Administrator</cp:lastModifiedBy>
  <dcterms:modified xsi:type="dcterms:W3CDTF">2019-09-10T01:48:01Z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