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6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3140"/>
        <w:gridCol w:w="168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2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来龙中心医院岗位简介表（事业编制）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资格及其他要求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专技七级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35周岁及以下（1984年 9月3日以后出生）；取得研究生学历或卫生系列中级职称的人员，年龄放宽至40周岁及以下（1979年 9月3日以后出生）；取得卫生系列副高级及以上职称的人员，年龄放宽至45周岁及以下（1974年9月3日以后出生）。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临床医学、内科学。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取得相应专业医师系列副高及以上职称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录用后最低服务期限3年及以上，其中2019年应届本科毕业生服务期限6年及以上（含规培期3年）。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临床医学、内科学。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临床医学、内科学。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取得执业医师资格。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临床医学、内科学。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2019年全日制普通高校应届毕业生。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专技七级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临床医学、外科学。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取得相应专业医师系列副高及以上职称。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临床医学、外科学。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临床医学、外科学。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取得执业医师资格。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临床医学、外科学。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2019年全日制普通高校应届毕业生。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专技七级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临床医学、妇产科学。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取得相应专业医师系列副高及以上职称。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临床医学、妇产科学。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临床医学、妇产科学。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取得执业医师资格。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临床医学、妇产科学。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2019年普通高校应届毕业生。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专技七级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临床医学、儿科学。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取得相应专业医师系列副高及以上职称。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临床医学、儿科学。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临床医学、儿科学。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取得执业医师资格。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临床医学、儿科学。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2019年全日制普通高校应届毕业生。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五官科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(含口腔科、眼科、耳鼻喉)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临床医学、口腔医学、口腔修复工艺学、口腔基础医学、口腔临床医学、耳鼻喉科学、听力学、眼科学、眼视光学。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临床医学、口腔医学、口腔修复工艺学、口腔基础医学、口腔临床医学、耳鼻喉科学、听力学。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取得执业医师资格。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口腔医学、口腔修复工艺学、口腔基础医学、口腔临床医学。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2019年全日制普通高校应届毕业生。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中医学、中西医结合临床、中西医结合基础、中西医临床医学、中医临床基础、中医诊断学、中医内科学、中医外科学、中医妇科学、中医儿科学。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中医学、中医基础理论、中医临床基础、中医诊断学、中医内科学、中医外科学、中医妇科学、中医儿科学。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取得执业医师资格。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麻醉学。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取得执业医师及以上资格（适合男性）。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预防保健科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预防医学、妇幼保健医学。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取得执业医师资格。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预防医学、妇幼保健医学。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2019年全日制普通高校应届毕业生。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临床医学、医学影像、医学影像学、影像医学与核医学。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CT室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临床医学、医学影像、医学影像学、影像医学与核医学、放射医学。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专技十级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临床医学、医学影像、医学影像学、影像医学与核医学、放射医学。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取得相应专业医师系列中级及以上职称。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atLeast"/>
        <w:ind w:left="0" w:right="0" w:firstLine="640"/>
        <w:jc w:val="both"/>
        <w:rPr>
          <w:rFonts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snapToGrid w:val="0"/>
          <w:color w:val="3D3D3D"/>
          <w:sz w:val="21"/>
          <w:szCs w:val="21"/>
          <w:u w:val="none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snapToGrid w:val="0"/>
          <w:color w:val="3D3D3D"/>
          <w:sz w:val="21"/>
          <w:szCs w:val="21"/>
          <w:u w:val="none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5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color w:val="3D3D3D"/>
          <w:sz w:val="21"/>
          <w:szCs w:val="21"/>
          <w:u w:val="none"/>
        </w:rPr>
        <w:t> </w:t>
      </w:r>
    </w:p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506D8"/>
    <w:rsid w:val="5B180756"/>
    <w:rsid w:val="5FC506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D3D3D"/>
      <w:u w:val="none"/>
    </w:rPr>
  </w:style>
  <w:style w:type="character" w:styleId="6">
    <w:name w:val="Hyperlink"/>
    <w:basedOn w:val="4"/>
    <w:uiPriority w:val="0"/>
    <w:rPr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2019-09-03T02:07:00Z</dcterms:created>
  <dc:creator>ASUS</dc:creator>
  <cp:lastModifiedBy>ASUS</cp:lastModifiedBy>
  <dcterms:modified xsi:type="dcterms:W3CDTF">2019-09-03T02:07:26Z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