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2019年药二，最后50+天，怎样复习，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可最终确定无疑，拿下≥80+？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b/>
          <w:bCs/>
          <w:szCs w:val="21"/>
        </w:rPr>
        <w:t>主讲：汤以恒·TANG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bCs/>
          <w:szCs w:val="21"/>
        </w:rPr>
        <w:t>2019.09.02</w:t>
      </w:r>
    </w:p>
    <w:tbl>
      <w:tblPr>
        <w:tblStyle w:val="8"/>
        <w:tblW w:w="859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7"/>
        <w:gridCol w:w="1442"/>
        <w:gridCol w:w="1581"/>
        <w:gridCol w:w="1623"/>
        <w:gridCol w:w="1092"/>
        <w:gridCol w:w="163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594" w:type="dxa"/>
            <w:gridSpan w:val="6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2019执业西药师药（二）考前50天，摸底测试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217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1-5 </w:t>
            </w:r>
          </w:p>
        </w:tc>
        <w:tc>
          <w:tcPr>
            <w:tcW w:w="144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CBCDD </w:t>
            </w:r>
          </w:p>
        </w:tc>
        <w:tc>
          <w:tcPr>
            <w:tcW w:w="1581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31-35 </w:t>
            </w:r>
          </w:p>
        </w:tc>
        <w:tc>
          <w:tcPr>
            <w:tcW w:w="1623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EDCEB </w:t>
            </w:r>
          </w:p>
        </w:tc>
        <w:tc>
          <w:tcPr>
            <w:tcW w:w="109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56 </w:t>
            </w:r>
          </w:p>
        </w:tc>
        <w:tc>
          <w:tcPr>
            <w:tcW w:w="1639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BCD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217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6-10 </w:t>
            </w:r>
          </w:p>
        </w:tc>
        <w:tc>
          <w:tcPr>
            <w:tcW w:w="144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ADAAC </w:t>
            </w:r>
          </w:p>
        </w:tc>
        <w:tc>
          <w:tcPr>
            <w:tcW w:w="1581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36-40 </w:t>
            </w:r>
          </w:p>
        </w:tc>
        <w:tc>
          <w:tcPr>
            <w:tcW w:w="1623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AABEC </w:t>
            </w:r>
          </w:p>
        </w:tc>
        <w:tc>
          <w:tcPr>
            <w:tcW w:w="109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57 </w:t>
            </w:r>
          </w:p>
        </w:tc>
        <w:tc>
          <w:tcPr>
            <w:tcW w:w="1639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ABCE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217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11-15 </w:t>
            </w:r>
          </w:p>
        </w:tc>
        <w:tc>
          <w:tcPr>
            <w:tcW w:w="144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EDDEE </w:t>
            </w:r>
          </w:p>
        </w:tc>
        <w:tc>
          <w:tcPr>
            <w:tcW w:w="1581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41-45 </w:t>
            </w:r>
          </w:p>
        </w:tc>
        <w:tc>
          <w:tcPr>
            <w:tcW w:w="1623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BCDEE </w:t>
            </w:r>
          </w:p>
        </w:tc>
        <w:tc>
          <w:tcPr>
            <w:tcW w:w="109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58 </w:t>
            </w:r>
          </w:p>
        </w:tc>
        <w:tc>
          <w:tcPr>
            <w:tcW w:w="1639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ABCD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217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16-20 </w:t>
            </w:r>
          </w:p>
        </w:tc>
        <w:tc>
          <w:tcPr>
            <w:tcW w:w="144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CBAEE </w:t>
            </w:r>
          </w:p>
        </w:tc>
        <w:tc>
          <w:tcPr>
            <w:tcW w:w="1581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46-50 </w:t>
            </w:r>
          </w:p>
        </w:tc>
        <w:tc>
          <w:tcPr>
            <w:tcW w:w="1623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ACAEB </w:t>
            </w:r>
          </w:p>
        </w:tc>
        <w:tc>
          <w:tcPr>
            <w:tcW w:w="109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59 </w:t>
            </w:r>
          </w:p>
        </w:tc>
        <w:tc>
          <w:tcPr>
            <w:tcW w:w="1639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ACE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217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21-25 </w:t>
            </w:r>
          </w:p>
        </w:tc>
        <w:tc>
          <w:tcPr>
            <w:tcW w:w="144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DCBCD </w:t>
            </w:r>
          </w:p>
        </w:tc>
        <w:tc>
          <w:tcPr>
            <w:tcW w:w="1581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51-55 </w:t>
            </w:r>
          </w:p>
        </w:tc>
        <w:tc>
          <w:tcPr>
            <w:tcW w:w="1623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CDECC </w:t>
            </w:r>
          </w:p>
        </w:tc>
        <w:tc>
          <w:tcPr>
            <w:tcW w:w="109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60 </w:t>
            </w:r>
          </w:p>
        </w:tc>
        <w:tc>
          <w:tcPr>
            <w:tcW w:w="1639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DE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217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26-30 </w:t>
            </w:r>
          </w:p>
        </w:tc>
        <w:tc>
          <w:tcPr>
            <w:tcW w:w="1442" w:type="dxa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CBBEA </w:t>
            </w:r>
          </w:p>
        </w:tc>
        <w:tc>
          <w:tcPr>
            <w:tcW w:w="5935" w:type="dxa"/>
            <w:gridSpan w:val="4"/>
            <w:shd w:val="clear" w:color="auto" w:fill="FFFFFF"/>
            <w:tcMar>
              <w:top w:w="96" w:type="dxa"/>
              <w:left w:w="144" w:type="dxa"/>
              <w:bottom w:w="96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你的分数：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  <w:u w:val="single"/>
              </w:rPr>
              <w:t xml:space="preserve">              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 60。 </w:t>
            </w:r>
          </w:p>
        </w:tc>
      </w:tr>
    </w:tbl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一、最佳选择题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1.影响疟原虫叶酸代谢过程的抗疟药是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A.奎宁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B.青蒿素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C.乙胺嘧啶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D.伯氨喹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E.氯喹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2.患者，女，45岁，因强直性脊柱炎住院，同时伴有胃溃疡、高血压及糖尿病，药师审核医嘱发现应当禁用的药品是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A.硝苯地平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B.吲哚美辛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C.雷尼替丁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D.格列齐特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E.二甲双胍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3.需要嚼碎服用的药品是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A.泮托拉唑肠溶片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B.胰酶肠溶片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C.铝碳酸镁片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D.胶体果胶铋胶囊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E.法莫替丁片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4.不易导致便秘和腹泻不良反应的抗酸药是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A.氢氧化铝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B.三硅酸镁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C.碳酸钙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D.铝碳酸镁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E.硫糖铝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5.下列属于肾素抑制剂的是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A.福辛普利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B.利血平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C.厄贝沙坦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D.阿利吉仑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E.甲基多巴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6.用于链激酶过量时解救的药品是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A.氨甲环酸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B.酚磺乙胺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C.维生素K1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D.鱼精蛋白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E.凝血酶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4992370" cy="2592070"/>
            <wp:effectExtent l="0" t="0" r="1778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rcRect l="4919" t="17999" r="14757" b="7800"/>
                    <a:stretch>
                      <a:fillRect/>
                    </a:stretch>
                  </pic:blipFill>
                  <pic:spPr>
                    <a:xfrm>
                      <a:off x="0" y="0"/>
                      <a:ext cx="4992370" cy="2592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7.属于凝血因子Xa直接抑制剂的是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A.依诺肝素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B.肝素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C.华法林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D.利伐沙班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E.达比加群酯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4992370" cy="2592070"/>
            <wp:effectExtent l="0" t="0" r="17780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l="4919" t="17999" r="14757" b="7800"/>
                    <a:stretch>
                      <a:fillRect/>
                    </a:stretch>
                  </pic:blipFill>
                  <pic:spPr>
                    <a:xfrm>
                      <a:off x="0" y="0"/>
                      <a:ext cx="4992370" cy="2592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8.长期使用可使血钾水平升高的药品是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A.阿米洛利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B.呋塞米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C.吲达帕胺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D.乙酰唑胺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E.氢氯噻嗪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9.属于泼尼松禁忌证的是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A.青光眼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B.过敏性皮炎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C.再生障碍性贫血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D.类风湿性关节炎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E.血管神经性水肿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10. 不易发生“双硫仑样” 反应的药物是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A.头孢曲松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B.头孢哌酮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C.头孢他啶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D.头孢替安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E.头孢匹胺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【连续考了两年了，再难记，也该做个了断了·TANG】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引起双硫仑样反应的头孢---根据2019版教材， P285、P296 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没有——头孢-拉定、他啶、噻肟、唑肟、克肟、吡肟、克洛、氨苄、丙烯、地尼、他美酯、呋辛酯。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有——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①头孢（7）-哌酮、孟多、替安、匹胺、尼西、甲肟、曲松；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②头霉素类——头孢-美唑、替坦、米诺；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③氧头孢烯类——拉氧、氟氧-头孢。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怎么记？——只记有的——7个头孢最难记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　　　   ——派孟多替俺劈了你家曲松！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3314700" cy="2390775"/>
            <wp:effectExtent l="0" t="0" r="0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11.属于神经氨酸酶抑制剂的抗流感病毒药是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A.拉米夫定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B.更昔洛韦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C.利巴韦林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D.阿德福韦酯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E.扎那米韦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12.应用曲妥珠单抗治疗乳腺癌前必须检测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A.表皮生长因子受体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B.雌激素受体（ER）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C.B淋巴细胞表面的CD20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D.人表皮生长因子受体-2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E.雌激素受体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13.引起间质性肺炎的抗肿瘤药物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A.柔红霉素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B.长春新碱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C.紫杉醇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D.博来霉素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E.环磷酰胺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14.直接破坏肿瘤细胞DNA结构和功能的抗肿瘤药是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A.多柔比星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B.氟尿嘧啶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C.紫杉醇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D.甲氨蝶呤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E.环磷酰胺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4535170" cy="2664460"/>
            <wp:effectExtent l="0" t="0" r="17780" b="25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rcRect l="3738" t="11700" r="21844" b="10600"/>
                    <a:stretch>
                      <a:fillRect/>
                    </a:stretch>
                  </pic:blipFill>
                  <pic:spPr>
                    <a:xfrm>
                      <a:off x="0" y="0"/>
                      <a:ext cx="4535170" cy="2664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15.大剂量使用，透皮吸收后对神经系统产生毒性，有诱发癫痫危险的药品是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A.维A酸软膏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B.克罗米通软膏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C.硫黄软膏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D.酮康唑乳膏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E.林旦乳膏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16.可抑制鲨烯环氧酶的活性，属于丙烯胺类抗皮肤真菌药的是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A.制霉菌素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B.联苯苄唑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C.特比萘芬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D.阿莫罗芬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E.环吡酮胺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第六类——其他：灰黄霉素、阿莫罗芬、利拉萘酯、环吡酮胺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17.对血小板聚集及凝血机制无影响的药品是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A.罗非昔布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B.对乙酰氨基酚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C.吲哚美辛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D.阿司匹林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E.美洛昔康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18.哮喘急性发作首选的治疗药物是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A.短效β2受体激动剂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B.白三烯受体阻断剂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C.吸入性糖皮质激素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D.磷酸二酯酶抑制剂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E.M胆碱受体阻断剂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19.可致光敏反应的抗微生物药物是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A.克林霉素　　　B.美罗培南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C.阿米卡星　　　D.头孢哌酮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E.莫西沙星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3858895" cy="1337310"/>
            <wp:effectExtent l="0" t="0" r="8255" b="1524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rcRect l="12006" t="37601" r="16331" b="30901"/>
                    <a:stretch>
                      <a:fillRect/>
                    </a:stretch>
                  </pic:blipFill>
                  <pic:spPr>
                    <a:xfrm>
                      <a:off x="0" y="0"/>
                      <a:ext cx="3858895" cy="1337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【沙星林可怕见光，还有四环和两黄。】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TANG2019冲刺新增记忆方法。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20.属于时间依赖型抗菌药物是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A.环丙沙星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B.奥硝唑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C.阿米卡星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D.依替米星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E.头孢哌酮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4073525" cy="2160270"/>
            <wp:effectExtent l="0" t="0" r="3175" b="1143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rcRect l="6100" t="20100" r="15938" b="6401"/>
                    <a:stretch>
                      <a:fillRect/>
                    </a:stretch>
                  </pic:blipFill>
                  <pic:spPr>
                    <a:xfrm>
                      <a:off x="0" y="0"/>
                      <a:ext cx="4073525" cy="2160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21.可以减轻多柔比星导致的心脏毒性的药物是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A.亚叶酸钙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B.美司钠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C.二巯基丙醇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D.右雷佐生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E.硫代硫酸钠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22.蒽醌类抗肿瘤药柔红霉素可引起心脏毒性，临床应用的解毒方案是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A.在用柔红霉素后30min，使用柔红霉素2倍量的右雷佐生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 在用柔红霉素后30min， 使用柔红霉素2倍量的氟马西尼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C.在用柔红霉素前30min，使用柔红霉素10倍量的右雷佐生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D.在用柔红霉素同时，使用柔红霉素等量的右雷佐生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E.在用柔红霉素同时，使用柔红霉素等量的氟马西尼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二、配伍选择题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A.阿米替林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B.氟西汀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C.吗氯贝胺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D.文拉法辛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E.米氮平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23.属于选择性5-羟色胺再摄取抑制剂的是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24.属于A型单胺氧化酶抑制剂的是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25.属于5-羟色胺和去甲肾上腺素再摄取抑制剂的是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3816985" cy="2143760"/>
            <wp:effectExtent l="0" t="0" r="12065" b="889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rcRect l="6100" t="13100" r="17513" b="10600"/>
                    <a:stretch>
                      <a:fillRect/>
                    </a:stretch>
                  </pic:blipFill>
                  <pic:spPr>
                    <a:xfrm>
                      <a:off x="0" y="0"/>
                      <a:ext cx="3816985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A.沙美特罗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B.孟鲁司特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C.多索茶碱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D.布地奈德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E.噻托溴铵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26.属于磷酸二酯酶抑制剂的平喘药是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27.属于白三烯受体阻断剂的平喘药是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A.法莫替丁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B.多潘立酮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C.氯苯那敏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D.奥美拉唑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E.莫沙必利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28.属于多巴胺D2受体阻断剂的是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29.属于选择性5-HT4受体激动剂的是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30.属于组胺H2受体阻断剂是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小结——促胃肠动力药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①甲氧氯普胺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——中枢和外周多巴胺D2受体阻断剂，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——轻微阻断5－HT3受体；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②多潘立酮——外周多巴胺D2受体阻断剂；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③西沙必利、莫沙必利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——选择性5－HT4受体激动剂，促进乙酰胆碱释放；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④伊托必利——阻断多巴胺D2受体+抑制乙酰胆碱酯酶。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A.头孢唑林　　B.青霉素G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C.氨曲南   　    D.万古霉素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E.克林霉素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31.对β-内酰胺类抗菌药物过敏的患者，I类切口围术期预防应用抗菌药物时，可选用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32.耐甲氧西林金黄色葡萄球菌（MRSA）高检出率的医疗机构，进行人工瓣膜置换术时，为预防MRSA感染，可选用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33.围手术期为预防革兰阴性杆菌感染，可选用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5275580" cy="2785110"/>
            <wp:effectExtent l="0" t="0" r="1270" b="1524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rcRect l="8463" t="13800" r="20663" b="19701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785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A.维拉帕米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B.胺碘酮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C.美西律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D.拉贝洛尔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E.普鲁卡因胺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34.属于钠通道阻滞剂（第Ia类）的抗心律失常药是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35.属于延长动作电位时程（第Ⅲ类）的抗心律失常药是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36.属于钙通道阻滞剂（第Ⅳ类）的抗心律失常药是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5275580" cy="2891155"/>
            <wp:effectExtent l="0" t="0" r="1270" b="444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rcRect l="2161" t="13800" r="19482" b="9901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891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A.甲萘醌　　B.酚磺乙胺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C.氨甲苯酸　D.鱼精蛋白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E.卡巴克络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37.属于促凝血因子合成药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38.属于促凝血因子活性药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39.作用于血管通透性药的是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40.抗纤维蛋白溶解药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4719955" cy="3221355"/>
            <wp:effectExtent l="0" t="0" r="4445" b="1714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rcRect l="4919" t="17999" r="14757" b="7800"/>
                    <a:stretch>
                      <a:fillRect/>
                    </a:stretch>
                  </pic:blipFill>
                  <pic:spPr>
                    <a:xfrm>
                      <a:off x="0" y="0"/>
                      <a:ext cx="4719955" cy="3221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A.头孢米诺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B.磺胺甲噁唑甲氧苄啶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C.利福喷丁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D.头孢吡肟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E.依替米星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41.抑制细菌叶酸合成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42.抑制细菌RNA合成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A.坎地沙坦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B.格列吡嗪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C.利血平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D.哌唑嗪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E.甲基多巴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43.可降低外周血管阻力，还可减轻前列增生症状的药物是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44.可激活血管运动神经中枢α2受体，适用于肾功能不全患者的抗高血压药是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3674745" cy="2263140"/>
            <wp:effectExtent l="0" t="0" r="1905" b="381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rcRect l="5016" t="13350" r="25000" b="10001"/>
                    <a:stretch>
                      <a:fillRect/>
                    </a:stretch>
                  </pic:blipFill>
                  <pic:spPr>
                    <a:xfrm>
                      <a:off x="0" y="0"/>
                      <a:ext cx="3674745" cy="2263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A.米格列醇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B.利拉鲁肽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C.吡格列酮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D.格列吡嗪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E.西格列汀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45.属于二肽基肽酶-4抑制剂的是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46.属于α-葡萄糖苷酶抑制剂的是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47.属于胰岛素增敏剂的是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5139690" cy="3629025"/>
            <wp:effectExtent l="0" t="0" r="3810" b="9525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rcRect l="3738" t="15199" r="14363" b="7101"/>
                    <a:stretch>
                      <a:fillRect/>
                    </a:stretch>
                  </pic:blipFill>
                  <pic:spPr>
                    <a:xfrm>
                      <a:off x="0" y="0"/>
                      <a:ext cx="513969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A.沙美特罗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B.沙丁胺醇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C.孟鲁斯特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D.异丙托溴铵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E.噻托溴铵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48.属于长效β2受体激动剂的平喘药是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49.属于长效M胆碱受体阻断剂的平喘药是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A.头孢吡肟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B.头孢米诺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C.美罗培南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D.氨曲南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E.拉氧头孢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50.对杆菌属类厌氧菌敏感，属于头霉素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51.属于碳青霉烯类，对G+、G-、需氧菌、厌氧菌均敏感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52.作为氨基糖苷类过敏的替代品，用于G-杆感染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三、综合分析选择题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【53-55】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患者，女，56岁，血清总胆固醇和低密度脂蛋白胆固醇异常，初诊医师建议首先改变生活方式（控制饮食、增加运动）。一个月后复查血脂水平仍未达标，医师处方辛伐他丁片20mg/d治疗。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53.该患者服用辛伐他汀片的适宜时间是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A.早上    B.上午    C.中午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D.下午    E.晚上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4553585" cy="1038860"/>
            <wp:effectExtent l="0" t="0" r="18415" b="889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rcRect l="10112" t="14496" r="34047" b="62892"/>
                    <a:stretch>
                      <a:fillRect/>
                    </a:stretch>
                  </pic:blipFill>
                  <pic:spPr>
                    <a:xfrm>
                      <a:off x="0" y="0"/>
                      <a:ext cx="4553585" cy="1038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54.若采用强化治疗，辛伐他汀片的最大日剂量是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A.20mg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B.40mg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C.80mg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D.100mg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E.120mg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55.服药期间应监测血生化指标，其中超过正常值上限10倍，应立即停药的指标是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A.Hcy   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B.Cr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C.CK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D.BUN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E.TBiL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4900930" cy="2694940"/>
            <wp:effectExtent l="0" t="0" r="13970" b="1016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rcRect l="8810" t="13545" r="42619" b="38907"/>
                    <a:stretch>
                      <a:fillRect/>
                    </a:stretch>
                  </pic:blipFill>
                  <pic:spPr>
                    <a:xfrm>
                      <a:off x="0" y="0"/>
                      <a:ext cx="4900930" cy="2694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四、多项选择题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56.属于阿司匹林禁忌证的有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A.急性心肌梗死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B.上消化道出血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C.血友病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D.血小板减少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E.退行性骨关节炎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57.患者，男。因胃肠道平滑肌痉挛而致腹痛，来药店购买颠茄片，药师应提示顾客该药可能发生的不良反应有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A.口干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B.排尿困难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C.视力模糊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D.心率减慢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E.便秘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4032885" cy="2413635"/>
            <wp:effectExtent l="0" t="0" r="5715" b="5715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rcRect l="4128" t="2821" r="14206" b="10406"/>
                    <a:stretch>
                      <a:fillRect/>
                    </a:stretch>
                  </pic:blipFill>
                  <pic:spPr>
                    <a:xfrm>
                      <a:off x="0" y="0"/>
                      <a:ext cx="4032885" cy="2413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58. 关于大环内酯类抗菌药物与其他药物相互作用的说法，正确的有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A.红霉素可抑制肝药酶活性，与环孢素合用可增加环孢素的血药浓度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B.克拉霉素为肝药酶抑制剂，与华法林合用可增强华法林的抗凝活性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C.阿奇霉素与氟喹诺酮类药物合用，可增加Q-T间期延长的风险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D.琥乙红霉素与辛伐他汀合用，可增加肝毒性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E.大环内酯类抗菌药物与林可霉素合用可产生协同作用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59.治疗甲状腺功能亢进症的的药品有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A.丙硫氧嘧啶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B.左甲状腺素片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C.甲巯咪唑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D.布地奈德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E.卡比马唑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60.配合大量饮水，能够促进尿酸排泄的药物有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A.秋水仙碱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B.别嘌醇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C.双氯芬酸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D.苯溴马隆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E.丙磺舒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  <w:bookmarkStart w:id="0" w:name="_GoBack"/>
      <w:bookmarkEnd w:id="0"/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5274310" cy="2589530"/>
            <wp:effectExtent l="0" t="0" r="2540" b="1270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rcRect l="4919" t="13100" r="8456" b="1130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9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结论——最后50+天，我们该如何冲刺？TANG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一、冲刺班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1.归纳总结——60分打底先保住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——基础班的核心内容，彻底记住，而不是模棱两可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2.查漏补缺——再上一层楼，再加20+分。包含：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①超级难点，冲刺阶段解决（如双硫仑相关药等）；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②基础学习阶段，考生通过教务老师反馈的疑问及难点；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③基础班未涉及，但具有可考性的新增知识点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二、冲刺班后的做题环节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——将知识点，变成分数。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（含TANG原创试题）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以平时96分（80%）的准备，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去考场拿回80分——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安心过关。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三、2018，药（二）难！偏！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但，难的，是拿80、90以上，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而非72以上。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因此，要坚定最重要的知识点，依然是核心。然后查漏补缺。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既不盲目自信，过度舍弃；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也不疑神疑鬼，草木皆兵。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——尺度，TANG来把握。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收网·药二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——目标位：10.26，80+！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  <w:lang/>
        </w:rPr>
        <w:drawing>
          <wp:inline distT="0" distB="0" distL="114300" distR="114300">
            <wp:extent cx="1838960" cy="1223645"/>
            <wp:effectExtent l="0" t="0" r="8890" b="14605"/>
            <wp:docPr id="17" name="图片 16" descr="D:\各类图片\收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D:\各类图片\收网.jp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38960" cy="1223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80＋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2019 </w:t>
      </w:r>
      <w:r>
        <w:rPr>
          <w:rFonts w:hint="eastAsia" w:ascii="MS Mincho" w:hAnsi="MS Mincho" w:eastAsia="MS Mincho" w:cs="MS Mincho"/>
          <w:szCs w:val="21"/>
        </w:rPr>
        <w:t>▪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执业西药师</w:t>
      </w:r>
      <w:r>
        <w:rPr>
          <w:rFonts w:hint="eastAsia" w:ascii="MS Mincho" w:hAnsi="MS Mincho" w:eastAsia="MS Mincho" w:cs="MS Mincho"/>
          <w:szCs w:val="21"/>
        </w:rPr>
        <w:t>▪</w:t>
      </w:r>
      <w:r>
        <w:rPr>
          <w:rFonts w:hint="eastAsia" w:ascii="宋体" w:hAnsi="宋体"/>
          <w:szCs w:val="21"/>
        </w:rPr>
        <w:t>冲刺班（药二）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医学教育网•汤以恒</w:t>
      </w:r>
    </w:p>
    <w:p>
      <w:pPr>
        <w:rPr>
          <w:rFonts w:hint="eastAsia" w:ascii="宋体" w:hAnsi="宋体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F7FFAFFF" w:usb1="E9DFFFFF" w:usb2="0000003F" w:usb3="00000000" w:csb0="003F01FF" w:csb1="00000000"/>
  </w:font>
  <w:font w:name="MS Mincho">
    <w:altName w:val="Yu Gothic UI"/>
    <w:panose1 w:val="02020609040205080304"/>
    <w:charset w:val="80"/>
    <w:family w:val="modern"/>
    <w:pitch w:val="default"/>
    <w:sig w:usb0="A00002BF" w:usb1="68C7FCFB" w:usb2="00000010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Arial Unicode MS" w:eastAsia="Arial Unicode MS" w:cs="Arial Unicode MS"/>
        <w:b/>
        <w:bCs/>
        <w:sz w:val="24"/>
      </w:rPr>
    </w:pPr>
    <w:r>
      <w:rPr>
        <w:lang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-38100</wp:posOffset>
          </wp:positionH>
          <wp:positionV relativeFrom="paragraph">
            <wp:posOffset>189865</wp:posOffset>
          </wp:positionV>
          <wp:extent cx="2247900" cy="228600"/>
          <wp:effectExtent l="0" t="0" r="0" b="0"/>
          <wp:wrapNone/>
          <wp:docPr id="21" name="图片 4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图片 4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3"/>
      <w:jc w:val="right"/>
      <w:rPr>
        <w:rFonts w:ascii="Arial Unicode MS" w:eastAsia="Arial Unicode MS" w:cs="Arial Unicode MS"/>
        <w:b/>
        <w:bCs/>
        <w:sz w:val="24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-85725</wp:posOffset>
              </wp:positionV>
              <wp:extent cx="5715000" cy="0"/>
              <wp:effectExtent l="0" t="0" r="0" b="0"/>
              <wp:wrapNone/>
              <wp:docPr id="18" name="直线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2" o:spid="_x0000_s1026" o:spt="20" style="position:absolute;left:0pt;margin-left:0pt;margin-top:-6.75pt;height:0pt;width:450pt;z-index:251658240;mso-width-relative:page;mso-height-relative:page;" filled="f" stroked="t" coordsize="21600,21600" o:gfxdata="UEsDBAoAAAAAAIdO4kAAAAAAAAAAAAAAAAAEAAAAZHJzL1BLAwQUAAAACACHTuJAYYek79QAAAAI&#10;AQAADwAAAGRycy9kb3ducmV2LnhtbE2PzU7DMBCE70i8g7VIXKrWTitQG+L0AOTGhRbEdRsvSUS8&#10;TmP3B56eRUKC486MZr8p1mffqyONsQtsIZsZUMR1cB03Fl621XQJKiZkh31gsvBJEdbl5UWBuQsn&#10;fqbjJjVKSjjmaKFNaci1jnVLHuMsDMTivYfRY5JzbLQb8STlvtdzY261x47lQ4sD3bdUf2wO3kKs&#10;XmlffU3qiXlbNIHm+4enR7T2+iozd6ASndNfGH7wBR1KYdqFA7uoegsyJFmYZosbUGKvjBFl96vo&#10;stD/B5TfUEsDBBQAAAAIAIdO4kBUbW6uzQEAAI4DAAAOAAAAZHJzL2Uyb0RvYy54bWytU0tu2zAQ&#10;3RfIHQjua8kG3I9gOYu6yaZoA6Q5wJgfiQB/4DCWfZZeo6tuepxco0PacZJ2UxT1gh5yho/vvRmt&#10;LvfOsp1KaILv+XzWcqa8CNL4oed3X69ev+MMM3gJNnjV84NCfrm+eLWaYqcWYQxWqsQIxGM3xZ6P&#10;OceuaVCMygHOQlSekjokB5m2aWhkgonQnW0WbfummUKSMQWhEOl0c0zydcXXWon8RWtUmdmeE7dc&#10;11TXbVmb9Qq6IUEcjTjRgH9g4cB4evQMtYEM7D6ZP6CcESlg0HkmgmuC1kaoqoHUzNvf1NyOEFXV&#10;QuZgPNuE/w9WfN7dJGYk9Y465cFRjx6+fX/48ZMtijlTxI5qbuNNOu2QwqJ0r5Mr/6SB7auhh7Oh&#10;ap+ZoMPl2/mybcl38Zhrni7GhPlaBcdK0HNrfNEKHew+YabHqPSxpBxbz6aev18ulgQHNCraQqbQ&#10;RSKPfqh3MVgjr4y15QamYfvBJraD0vz6K5II90VZeWQDOB7rauo4FqMC+dFLlg+RXPE0v7xQcEpy&#10;ZhWNe4kIELoMxv5NJT1tPTEorh59LNE2yAM14T4mM4zkxLyyLBlqeuV7GtAyVc/3FenpM1r/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GGHpO/UAAAACAEAAA8AAAAAAAAAAQAgAAAAIgAAAGRycy9k&#10;b3ducmV2LnhtbFBLAQIUABQAAAAIAIdO4kBUbW6uzQEAAI4DAAAOAAAAAAAAAAEAIAAAACMBAABk&#10;cnMvZTJvRG9jLnhtbFBLBQYAAAAABgAGAFkBAABiBQAAAAA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Arial Unicode MS" w:hAnsi="Arial Unicode MS" w:cs="Arial Unicode MS"/>
        <w:b/>
        <w:bCs/>
        <w:sz w:val="24"/>
      </w:rPr>
      <w:t>　　　　　　</w:t>
    </w:r>
    <w:r>
      <w:rPr>
        <w:rFonts w:ascii="Arial Unicode MS" w:hAnsi="Arial Unicode MS" w:cs="Arial Unicode MS"/>
        <w:b/>
        <w:bCs/>
        <w:sz w:val="24"/>
      </w:rPr>
      <w:t xml:space="preserve">            </w:t>
    </w:r>
    <w:r>
      <w:rPr>
        <w:rFonts w:hint="eastAsia" w:ascii="Arial Unicode MS" w:hAnsi="Arial Unicode MS" w:cs="Arial Unicode MS"/>
      </w:rPr>
      <w:t>第</w:t>
    </w: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  <w:lang/>
      </w:rPr>
      <w:t>15</w:t>
    </w:r>
    <w:r>
      <w:fldChar w:fldCharType="end"/>
    </w:r>
    <w:r>
      <w:rPr>
        <w:rStyle w:val="7"/>
        <w:rFonts w:hint="eastAsia"/>
      </w:rPr>
      <w:t>页</w:t>
    </w:r>
    <w:r>
      <w:rPr>
        <w:lang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681990</wp:posOffset>
          </wp:positionH>
          <wp:positionV relativeFrom="paragraph">
            <wp:posOffset>10177780</wp:posOffset>
          </wp:positionV>
          <wp:extent cx="2247900" cy="228600"/>
          <wp:effectExtent l="0" t="0" r="0" b="0"/>
          <wp:wrapNone/>
          <wp:docPr id="20" name="图片 2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图片 2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lang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681990</wp:posOffset>
          </wp:positionH>
          <wp:positionV relativeFrom="paragraph">
            <wp:posOffset>10177780</wp:posOffset>
          </wp:positionV>
          <wp:extent cx="2247900" cy="228600"/>
          <wp:effectExtent l="0" t="0" r="0" b="0"/>
          <wp:wrapNone/>
          <wp:docPr id="19" name="图片 1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图片 1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8306"/>
      </w:tabs>
    </w:pPr>
    <w:r>
      <w:rPr>
        <w:rFonts w:hint="eastAsia" w:ascii="楷体" w:hAnsi="楷体" w:eastAsia="楷体"/>
        <w:b/>
        <w:sz w:val="21"/>
        <w:szCs w:val="21"/>
      </w:rPr>
      <w:t>执业药师考试辅导</w:t>
    </w:r>
    <w:r>
      <w:tab/>
    </w:r>
    <w:r>
      <w:rPr>
        <w:rFonts w:ascii="Verdana" w:hAnsi="Verdana" w:cs="Arial"/>
        <w:b/>
        <w:color w:val="000000"/>
        <w:sz w:val="24"/>
        <w:szCs w:val="24"/>
        <w:lang/>
      </w:rPr>
      <w:t xml:space="preserve"> </w:t>
    </w:r>
    <w:r>
      <w:rPr>
        <w:rFonts w:ascii="Verdana" w:hAnsi="Verdana" w:cs="Arial"/>
        <w:b/>
        <w:color w:val="000000"/>
        <w:sz w:val="24"/>
        <w:szCs w:val="24"/>
        <w:lang/>
      </w:rPr>
      <w:drawing>
        <wp:inline distT="0" distB="0" distL="114300" distR="114300">
          <wp:extent cx="1343025" cy="342900"/>
          <wp:effectExtent l="0" t="0" r="9525" b="0"/>
          <wp:docPr id="22" name="图片 32" descr="医学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图片 32" descr="医学网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3025" cy="3429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D61"/>
    <w:rsid w:val="002C7340"/>
    <w:rsid w:val="003A041A"/>
    <w:rsid w:val="003C6E35"/>
    <w:rsid w:val="00542AB8"/>
    <w:rsid w:val="006426D0"/>
    <w:rsid w:val="007F668C"/>
    <w:rsid w:val="00860826"/>
    <w:rsid w:val="00A655DA"/>
    <w:rsid w:val="00A73D66"/>
    <w:rsid w:val="00B146D1"/>
    <w:rsid w:val="00C5248C"/>
    <w:rsid w:val="00CF70AD"/>
    <w:rsid w:val="00D23CF8"/>
    <w:rsid w:val="00D34C12"/>
    <w:rsid w:val="00D5683C"/>
    <w:rsid w:val="00E220F1"/>
    <w:rsid w:val="00E730D2"/>
    <w:rsid w:val="00EB22E9"/>
    <w:rsid w:val="00EE6D61"/>
    <w:rsid w:val="185F67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uiPriority w:val="99"/>
    <w:rPr>
      <w:rFonts w:cs="Times New Roman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754</Words>
  <Characters>4298</Characters>
  <Lines>35</Lines>
  <Paragraphs>10</Paragraphs>
  <TotalTime>2</TotalTime>
  <ScaleCrop>false</ScaleCrop>
  <LinksUpToDate>false</LinksUpToDate>
  <CharactersWithSpaces>5042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2019-09-02T00:48:00Z</dcterms:created>
  <dc:creator>DELL</dc:creator>
  <cp:lastModifiedBy>dell</cp:lastModifiedBy>
  <dcterms:modified xsi:type="dcterms:W3CDTF">2019-09-02T00:59:47Z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