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8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139"/>
        <w:gridCol w:w="1558"/>
        <w:gridCol w:w="704"/>
        <w:gridCol w:w="5529"/>
        <w:gridCol w:w="2548"/>
        <w:gridCol w:w="26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职数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6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普通全日制二本B类及以上学历（2015、2016、2017、2018、2019年毕业），学士及以上学位，2015、2016年毕业者必须取得医师资格证，已取得规培合格证者优先</w:t>
            </w:r>
          </w:p>
        </w:tc>
        <w:tc>
          <w:tcPr>
            <w:tcW w:w="25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26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呼吸消化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普外一科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普外二科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眼耳鼻喉科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病理学或临床医学专业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医学影像或临床医学专业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普通全日制本科及以上学历（2015、2016、2017、2018、2019年毕业），学士及以上学位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医学影像、医学影像技术或临床医学专业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中医学科带头人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40周岁及以下，本科及以上学历，中级以上职称，二甲以上医院或中医专科医院工作十年以上，待遇从优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普通全日制二本B类及以上学历（2015、2016、2017、2018、2019年毕业），学士及以上学位，2015、2016年毕业者必须取得医师资格证，已取得规培合格证者优先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普通全日制本科及以上学历（2015、2016、2017、2018、2019年毕业），学士及以上</w:t>
            </w:r>
            <w:bookmarkStart w:id="0" w:name="_GoBack"/>
            <w:bookmarkEnd w:id="0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学位，2015、2016年毕业者必须取得医师资格证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临床医学专业、全科医师专业</w:t>
            </w:r>
          </w:p>
        </w:tc>
        <w:tc>
          <w:tcPr>
            <w:tcW w:w="26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普通全日制二本B类及以上学历（2017、2018、2019年毕业），学士及以上学位，有护士资格证者优先</w:t>
            </w:r>
          </w:p>
        </w:tc>
        <w:tc>
          <w:tcPr>
            <w:tcW w:w="2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26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有护士资格证或成绩合格优先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80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备注：临床医学专业硕士及以上研究生不受名额等条件限制，并取消试用期，经考察合格录用后待遇从优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1C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2019-08-30T07:13:32Z</dcterms:created>
  <dc:creator>Administrator</dc:creator>
  <cp:lastModifiedBy>有一种生气叫在乎</cp:lastModifiedBy>
  <dcterms:modified xsi:type="dcterms:W3CDTF">2019-08-30T07:14:26Z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