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tLeast"/>
        <w:jc w:val="left"/>
        <w:rPr>
          <w:rFonts w:ascii="仿宋_GB2312" w:hAnsi="宋体" w:eastAsia="仿宋_GB2312" w:cs="宋体"/>
          <w:color w:val="454545"/>
          <w:kern w:val="0"/>
          <w:sz w:val="30"/>
          <w:szCs w:val="30"/>
        </w:rPr>
      </w:pPr>
      <w:r>
        <w:rPr>
          <w:rFonts w:hint="eastAsia" w:ascii="微软雅黑" w:hAnsi="微软雅黑" w:eastAsia="微软雅黑"/>
          <w:b/>
          <w:bCs/>
          <w:color w:val="454545"/>
          <w:sz w:val="30"/>
          <w:szCs w:val="30"/>
        </w:rPr>
        <w:t>2019年平湖市</w:t>
      </w:r>
      <w:r>
        <w:rPr>
          <w:rFonts w:ascii="微软雅黑" w:hAnsi="微软雅黑" w:eastAsia="微软雅黑"/>
          <w:b/>
          <w:bCs/>
          <w:color w:val="454545"/>
          <w:sz w:val="30"/>
          <w:szCs w:val="30"/>
        </w:rPr>
        <w:t>妇幼</w:t>
      </w:r>
      <w:r>
        <w:rPr>
          <w:rFonts w:hint="eastAsia" w:ascii="微软雅黑" w:hAnsi="微软雅黑" w:eastAsia="微软雅黑"/>
          <w:b/>
          <w:bCs/>
          <w:color w:val="454545"/>
          <w:sz w:val="30"/>
          <w:szCs w:val="30"/>
        </w:rPr>
        <w:t>保健</w:t>
      </w:r>
      <w:r>
        <w:rPr>
          <w:rFonts w:ascii="微软雅黑" w:hAnsi="微软雅黑" w:eastAsia="微软雅黑"/>
          <w:b/>
          <w:bCs/>
          <w:color w:val="454545"/>
          <w:sz w:val="30"/>
          <w:szCs w:val="30"/>
        </w:rPr>
        <w:t>院</w:t>
      </w:r>
      <w:r>
        <w:rPr>
          <w:rFonts w:hint="eastAsia" w:ascii="微软雅黑" w:hAnsi="微软雅黑" w:eastAsia="微软雅黑"/>
          <w:b/>
          <w:bCs/>
          <w:color w:val="454545"/>
          <w:sz w:val="30"/>
          <w:szCs w:val="30"/>
        </w:rPr>
        <w:t>招聘高层次、紧缺型卫技人才公告</w:t>
      </w:r>
    </w:p>
    <w:p>
      <w:pPr>
        <w:widowControl/>
        <w:spacing w:line="480" w:lineRule="atLeast"/>
        <w:ind w:firstLine="556"/>
        <w:rPr>
          <w:rFonts w:ascii="宋体" w:hAnsi="宋体" w:eastAsia="宋体" w:cs="宋体"/>
          <w:color w:val="454545"/>
          <w:kern w:val="0"/>
          <w:szCs w:val="21"/>
        </w:rPr>
      </w:pPr>
      <w:r>
        <w:rPr>
          <w:rFonts w:hint="eastAsia" w:ascii="仿宋_GB2312" w:hAnsi="宋体" w:eastAsia="仿宋_GB2312" w:cs="宋体"/>
          <w:color w:val="454545"/>
          <w:kern w:val="0"/>
          <w:sz w:val="29"/>
          <w:szCs w:val="29"/>
        </w:rPr>
        <w:t>为优化我院人才队伍结构，加</w:t>
      </w:r>
      <w:r>
        <w:rPr>
          <w:rFonts w:ascii="仿宋_GB2312" w:hAnsi="宋体" w:eastAsia="仿宋_GB2312" w:cs="宋体"/>
          <w:color w:val="454545"/>
          <w:kern w:val="0"/>
          <w:sz w:val="29"/>
          <w:szCs w:val="29"/>
        </w:rPr>
        <w:t>快</w:t>
      </w:r>
      <w:r>
        <w:rPr>
          <w:rFonts w:hint="eastAsia" w:ascii="仿宋_GB2312" w:hAnsi="宋体" w:eastAsia="仿宋_GB2312" w:cs="宋体"/>
          <w:color w:val="454545"/>
          <w:kern w:val="0"/>
          <w:sz w:val="29"/>
          <w:szCs w:val="29"/>
        </w:rPr>
        <w:t>我院各项事业科学和谐发展，根据上级</w:t>
      </w:r>
      <w:r>
        <w:rPr>
          <w:rFonts w:ascii="仿宋_GB2312" w:hAnsi="宋体" w:eastAsia="仿宋_GB2312" w:cs="宋体"/>
          <w:color w:val="454545"/>
          <w:kern w:val="0"/>
          <w:sz w:val="29"/>
          <w:szCs w:val="29"/>
        </w:rPr>
        <w:t>有关</w:t>
      </w:r>
      <w:r>
        <w:rPr>
          <w:rFonts w:hint="eastAsia" w:ascii="仿宋_GB2312" w:hAnsi="宋体" w:eastAsia="仿宋_GB2312" w:cs="宋体"/>
          <w:color w:val="454545"/>
          <w:kern w:val="0"/>
          <w:sz w:val="29"/>
          <w:szCs w:val="29"/>
        </w:rPr>
        <w:t>文件规定，经平湖市人力社保局核准，现将2019年平湖市妇幼保健</w:t>
      </w:r>
      <w:r>
        <w:rPr>
          <w:rFonts w:ascii="仿宋_GB2312" w:hAnsi="宋体" w:eastAsia="仿宋_GB2312" w:cs="宋体"/>
          <w:color w:val="454545"/>
          <w:kern w:val="0"/>
          <w:sz w:val="29"/>
          <w:szCs w:val="29"/>
        </w:rPr>
        <w:t>院</w:t>
      </w:r>
      <w:r>
        <w:rPr>
          <w:rFonts w:hint="eastAsia" w:ascii="仿宋_GB2312" w:hAnsi="宋体" w:eastAsia="仿宋_GB2312" w:cs="宋体"/>
          <w:color w:val="454545"/>
          <w:kern w:val="0"/>
          <w:sz w:val="29"/>
          <w:szCs w:val="29"/>
        </w:rPr>
        <w:t>招聘高层次、紧缺型卫生专业技术人才有关事项公告如下：</w:t>
      </w:r>
    </w:p>
    <w:p>
      <w:pPr>
        <w:widowControl/>
        <w:spacing w:line="480" w:lineRule="atLeast"/>
        <w:ind w:firstLine="555"/>
        <w:rPr>
          <w:rFonts w:ascii="宋体" w:hAnsi="宋体" w:eastAsia="宋体" w:cs="宋体"/>
          <w:color w:val="454545"/>
          <w:kern w:val="0"/>
          <w:szCs w:val="21"/>
        </w:rPr>
      </w:pPr>
      <w:r>
        <w:rPr>
          <w:rFonts w:hint="eastAsia" w:ascii="黑体" w:hAnsi="黑体" w:eastAsia="黑体" w:cs="宋体"/>
          <w:color w:val="454545"/>
          <w:kern w:val="0"/>
          <w:sz w:val="29"/>
          <w:szCs w:val="29"/>
        </w:rPr>
        <w:t>一、招聘计划</w:t>
      </w:r>
    </w:p>
    <w:p>
      <w:pPr>
        <w:widowControl/>
        <w:adjustRightInd w:val="0"/>
        <w:spacing w:line="480" w:lineRule="atLeast"/>
        <w:jc w:val="center"/>
        <w:rPr>
          <w:rFonts w:hint="eastAsia" w:ascii="仿宋_GB2312" w:hAnsi="宋体" w:eastAsia="仿宋_GB2312" w:cs="宋体"/>
          <w:color w:val="454545"/>
          <w:kern w:val="0"/>
          <w:sz w:val="28"/>
          <w:szCs w:val="29"/>
        </w:rPr>
      </w:pPr>
      <w:r>
        <w:rPr>
          <w:rFonts w:hint="eastAsia" w:ascii="仿宋_GB2312" w:hAnsi="宋体" w:eastAsia="仿宋_GB2312" w:cs="宋体"/>
          <w:color w:val="454545"/>
          <w:kern w:val="0"/>
          <w:sz w:val="28"/>
          <w:szCs w:val="29"/>
        </w:rPr>
        <w:t>2019年平湖市妇幼保</w:t>
      </w:r>
      <w:r>
        <w:rPr>
          <w:rFonts w:ascii="仿宋_GB2312" w:hAnsi="宋体" w:eastAsia="仿宋_GB2312" w:cs="宋体"/>
          <w:color w:val="454545"/>
          <w:kern w:val="0"/>
          <w:sz w:val="28"/>
          <w:szCs w:val="29"/>
        </w:rPr>
        <w:t>健院</w:t>
      </w:r>
      <w:r>
        <w:rPr>
          <w:rFonts w:hint="eastAsia" w:ascii="仿宋_GB2312" w:hAnsi="宋体" w:eastAsia="仿宋_GB2312" w:cs="宋体"/>
          <w:color w:val="454545"/>
          <w:kern w:val="0"/>
          <w:sz w:val="28"/>
          <w:szCs w:val="29"/>
        </w:rPr>
        <w:t>公开招聘高层次、紧缺型人才</w:t>
      </w:r>
      <w:r>
        <w:rPr>
          <w:rFonts w:ascii="仿宋_GB2312" w:hAnsi="宋体" w:eastAsia="仿宋_GB2312" w:cs="宋体"/>
          <w:color w:val="454545"/>
          <w:kern w:val="0"/>
          <w:sz w:val="28"/>
          <w:szCs w:val="29"/>
        </w:rPr>
        <w:t>17</w:t>
      </w:r>
      <w:r>
        <w:rPr>
          <w:rFonts w:hint="eastAsia" w:ascii="仿宋_GB2312" w:hAnsi="宋体" w:eastAsia="仿宋_GB2312" w:cs="宋体"/>
          <w:color w:val="454545"/>
          <w:kern w:val="0"/>
          <w:sz w:val="28"/>
          <w:szCs w:val="29"/>
        </w:rPr>
        <w:t>名。</w:t>
      </w:r>
    </w:p>
    <w:tbl>
      <w:tblPr>
        <w:tblStyle w:val="2"/>
        <w:tblW w:w="8697" w:type="dxa"/>
        <w:tblInd w:w="-55" w:type="dxa"/>
        <w:tblLayout w:type="fixed"/>
        <w:tblCellMar>
          <w:top w:w="0" w:type="dxa"/>
          <w:left w:w="108" w:type="dxa"/>
          <w:bottom w:w="0" w:type="dxa"/>
          <w:right w:w="108" w:type="dxa"/>
        </w:tblCellMar>
      </w:tblPr>
      <w:tblGrid>
        <w:gridCol w:w="1500"/>
        <w:gridCol w:w="1097"/>
        <w:gridCol w:w="2263"/>
        <w:gridCol w:w="1246"/>
        <w:gridCol w:w="1432"/>
        <w:gridCol w:w="1159"/>
      </w:tblGrid>
      <w:tr>
        <w:tblPrEx>
          <w:tblLayout w:type="fixed"/>
          <w:tblCellMar>
            <w:top w:w="0" w:type="dxa"/>
            <w:left w:w="108" w:type="dxa"/>
            <w:bottom w:w="0" w:type="dxa"/>
            <w:right w:w="108" w:type="dxa"/>
          </w:tblCellMar>
        </w:tblPrEx>
        <w:trPr>
          <w:trHeight w:val="720" w:hRule="atLeast"/>
        </w:trPr>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招聘岗位</w:t>
            </w:r>
          </w:p>
        </w:tc>
        <w:tc>
          <w:tcPr>
            <w:tcW w:w="109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招聘人数</w:t>
            </w:r>
          </w:p>
        </w:tc>
        <w:tc>
          <w:tcPr>
            <w:tcW w:w="226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所需专业</w:t>
            </w:r>
          </w:p>
        </w:tc>
        <w:tc>
          <w:tcPr>
            <w:tcW w:w="124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学历要求</w:t>
            </w:r>
          </w:p>
        </w:tc>
        <w:tc>
          <w:tcPr>
            <w:tcW w:w="143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专业技术资格或执业资格要求</w:t>
            </w:r>
          </w:p>
        </w:tc>
        <w:tc>
          <w:tcPr>
            <w:tcW w:w="11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其他要求</w:t>
            </w:r>
          </w:p>
        </w:tc>
      </w:tr>
      <w:tr>
        <w:tblPrEx>
          <w:tblLayout w:type="fixed"/>
          <w:tblCellMar>
            <w:top w:w="0" w:type="dxa"/>
            <w:left w:w="108" w:type="dxa"/>
            <w:bottom w:w="0" w:type="dxa"/>
            <w:right w:w="108" w:type="dxa"/>
          </w:tblCellMar>
        </w:tblPrEx>
        <w:trPr>
          <w:trHeight w:val="490" w:hRule="atLeast"/>
        </w:trPr>
        <w:tc>
          <w:tcPr>
            <w:tcW w:w="15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妇产科1</w:t>
            </w:r>
          </w:p>
        </w:tc>
        <w:tc>
          <w:tcPr>
            <w:tcW w:w="10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22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临床医学</w:t>
            </w:r>
          </w:p>
        </w:tc>
        <w:tc>
          <w:tcPr>
            <w:tcW w:w="12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本科</w:t>
            </w:r>
          </w:p>
        </w:tc>
        <w:tc>
          <w:tcPr>
            <w:tcW w:w="14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副主任医师</w:t>
            </w:r>
          </w:p>
        </w:tc>
        <w:tc>
          <w:tcPr>
            <w:tcW w:w="11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p>
        </w:tc>
      </w:tr>
      <w:tr>
        <w:tblPrEx>
          <w:tblLayout w:type="fixed"/>
          <w:tblCellMar>
            <w:top w:w="0" w:type="dxa"/>
            <w:left w:w="108" w:type="dxa"/>
            <w:bottom w:w="0" w:type="dxa"/>
            <w:right w:w="108" w:type="dxa"/>
          </w:tblCellMar>
        </w:tblPrEx>
        <w:trPr>
          <w:trHeight w:val="426" w:hRule="atLeast"/>
        </w:trPr>
        <w:tc>
          <w:tcPr>
            <w:tcW w:w="15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妇产科2</w:t>
            </w:r>
          </w:p>
        </w:tc>
        <w:tc>
          <w:tcPr>
            <w:tcW w:w="10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5</w:t>
            </w:r>
          </w:p>
        </w:tc>
        <w:tc>
          <w:tcPr>
            <w:tcW w:w="22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临床医学</w:t>
            </w:r>
          </w:p>
        </w:tc>
        <w:tc>
          <w:tcPr>
            <w:tcW w:w="12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本科</w:t>
            </w:r>
          </w:p>
        </w:tc>
        <w:tc>
          <w:tcPr>
            <w:tcW w:w="14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主治医师</w:t>
            </w:r>
          </w:p>
        </w:tc>
        <w:tc>
          <w:tcPr>
            <w:tcW w:w="11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16"/>
                <w:szCs w:val="16"/>
              </w:rPr>
            </w:pPr>
          </w:p>
        </w:tc>
      </w:tr>
      <w:tr>
        <w:tblPrEx>
          <w:tblLayout w:type="fixed"/>
          <w:tblCellMar>
            <w:top w:w="0" w:type="dxa"/>
            <w:left w:w="108" w:type="dxa"/>
            <w:bottom w:w="0" w:type="dxa"/>
            <w:right w:w="108" w:type="dxa"/>
          </w:tblCellMar>
        </w:tblPrEx>
        <w:trPr>
          <w:trHeight w:val="419" w:hRule="atLeast"/>
        </w:trPr>
        <w:tc>
          <w:tcPr>
            <w:tcW w:w="15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儿科</w:t>
            </w:r>
          </w:p>
        </w:tc>
        <w:tc>
          <w:tcPr>
            <w:tcW w:w="10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4</w:t>
            </w:r>
          </w:p>
        </w:tc>
        <w:tc>
          <w:tcPr>
            <w:tcW w:w="22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临床医学、儿科学</w:t>
            </w:r>
          </w:p>
        </w:tc>
        <w:tc>
          <w:tcPr>
            <w:tcW w:w="12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本科</w:t>
            </w:r>
          </w:p>
        </w:tc>
        <w:tc>
          <w:tcPr>
            <w:tcW w:w="14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主治医师</w:t>
            </w:r>
          </w:p>
        </w:tc>
        <w:tc>
          <w:tcPr>
            <w:tcW w:w="11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16"/>
                <w:szCs w:val="16"/>
              </w:rPr>
            </w:pPr>
          </w:p>
        </w:tc>
      </w:tr>
      <w:tr>
        <w:tblPrEx>
          <w:tblLayout w:type="fixed"/>
          <w:tblCellMar>
            <w:top w:w="0" w:type="dxa"/>
            <w:left w:w="108" w:type="dxa"/>
            <w:bottom w:w="0" w:type="dxa"/>
            <w:right w:w="108" w:type="dxa"/>
          </w:tblCellMar>
        </w:tblPrEx>
        <w:trPr>
          <w:trHeight w:val="539" w:hRule="atLeast"/>
        </w:trPr>
        <w:tc>
          <w:tcPr>
            <w:tcW w:w="15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新生儿科</w:t>
            </w:r>
          </w:p>
        </w:tc>
        <w:tc>
          <w:tcPr>
            <w:tcW w:w="10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22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临床医学、儿科学</w:t>
            </w:r>
          </w:p>
        </w:tc>
        <w:tc>
          <w:tcPr>
            <w:tcW w:w="12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本科</w:t>
            </w:r>
          </w:p>
        </w:tc>
        <w:tc>
          <w:tcPr>
            <w:tcW w:w="14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主治医师</w:t>
            </w:r>
          </w:p>
        </w:tc>
        <w:tc>
          <w:tcPr>
            <w:tcW w:w="11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p>
        </w:tc>
      </w:tr>
      <w:tr>
        <w:tblPrEx>
          <w:tblLayout w:type="fixed"/>
          <w:tblCellMar>
            <w:top w:w="0" w:type="dxa"/>
            <w:left w:w="108" w:type="dxa"/>
            <w:bottom w:w="0" w:type="dxa"/>
            <w:right w:w="108" w:type="dxa"/>
          </w:tblCellMar>
        </w:tblPrEx>
        <w:trPr>
          <w:trHeight w:val="1553" w:hRule="atLeast"/>
        </w:trPr>
        <w:tc>
          <w:tcPr>
            <w:tcW w:w="15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放射科1</w:t>
            </w:r>
          </w:p>
        </w:tc>
        <w:tc>
          <w:tcPr>
            <w:tcW w:w="10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22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临床医学、医学影像学</w:t>
            </w:r>
          </w:p>
        </w:tc>
        <w:tc>
          <w:tcPr>
            <w:tcW w:w="12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本科</w:t>
            </w:r>
          </w:p>
        </w:tc>
        <w:tc>
          <w:tcPr>
            <w:tcW w:w="14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主治医师</w:t>
            </w:r>
          </w:p>
        </w:tc>
        <w:tc>
          <w:tcPr>
            <w:tcW w:w="11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二级医院及以上放射工作经历，有CT上岗证</w:t>
            </w:r>
          </w:p>
        </w:tc>
      </w:tr>
      <w:tr>
        <w:tblPrEx>
          <w:tblLayout w:type="fixed"/>
          <w:tblCellMar>
            <w:top w:w="0" w:type="dxa"/>
            <w:left w:w="108" w:type="dxa"/>
            <w:bottom w:w="0" w:type="dxa"/>
            <w:right w:w="108" w:type="dxa"/>
          </w:tblCellMar>
        </w:tblPrEx>
        <w:trPr>
          <w:trHeight w:val="493" w:hRule="atLeast"/>
        </w:trPr>
        <w:tc>
          <w:tcPr>
            <w:tcW w:w="15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放射科2</w:t>
            </w:r>
          </w:p>
        </w:tc>
        <w:tc>
          <w:tcPr>
            <w:tcW w:w="10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3</w:t>
            </w:r>
          </w:p>
        </w:tc>
        <w:tc>
          <w:tcPr>
            <w:tcW w:w="22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临床医学、医学影像学</w:t>
            </w:r>
          </w:p>
        </w:tc>
        <w:tc>
          <w:tcPr>
            <w:tcW w:w="12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本科</w:t>
            </w:r>
          </w:p>
        </w:tc>
        <w:tc>
          <w:tcPr>
            <w:tcW w:w="14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主治医师</w:t>
            </w:r>
          </w:p>
        </w:tc>
        <w:tc>
          <w:tcPr>
            <w:tcW w:w="11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16"/>
                <w:szCs w:val="16"/>
              </w:rPr>
            </w:pPr>
          </w:p>
        </w:tc>
      </w:tr>
      <w:tr>
        <w:tblPrEx>
          <w:tblLayout w:type="fixed"/>
          <w:tblCellMar>
            <w:top w:w="0" w:type="dxa"/>
            <w:left w:w="108" w:type="dxa"/>
            <w:bottom w:w="0" w:type="dxa"/>
            <w:right w:w="108" w:type="dxa"/>
          </w:tblCellMar>
        </w:tblPrEx>
        <w:trPr>
          <w:trHeight w:val="428" w:hRule="atLeast"/>
        </w:trPr>
        <w:tc>
          <w:tcPr>
            <w:tcW w:w="15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急诊科</w:t>
            </w:r>
          </w:p>
        </w:tc>
        <w:tc>
          <w:tcPr>
            <w:tcW w:w="10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22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临床医学</w:t>
            </w:r>
          </w:p>
        </w:tc>
        <w:tc>
          <w:tcPr>
            <w:tcW w:w="12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本科</w:t>
            </w:r>
          </w:p>
        </w:tc>
        <w:tc>
          <w:tcPr>
            <w:tcW w:w="14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主治医师</w:t>
            </w:r>
          </w:p>
        </w:tc>
        <w:tc>
          <w:tcPr>
            <w:tcW w:w="1159" w:type="dxa"/>
            <w:tcBorders>
              <w:top w:val="nil"/>
              <w:left w:val="nil"/>
              <w:bottom w:val="single" w:color="auto" w:sz="4" w:space="0"/>
              <w:right w:val="single" w:color="auto" w:sz="4" w:space="0"/>
            </w:tcBorders>
            <w:shd w:val="clear" w:color="auto" w:fill="auto"/>
            <w:vAlign w:val="center"/>
          </w:tcPr>
          <w:p>
            <w:pPr>
              <w:widowControl/>
              <w:rPr>
                <w:rFonts w:hint="eastAsia" w:ascii="宋体" w:hAnsi="宋体" w:eastAsia="宋体" w:cs="宋体"/>
                <w:kern w:val="0"/>
                <w:sz w:val="20"/>
                <w:szCs w:val="20"/>
              </w:rPr>
            </w:pPr>
          </w:p>
        </w:tc>
      </w:tr>
      <w:tr>
        <w:tblPrEx>
          <w:tblLayout w:type="fixed"/>
          <w:tblCellMar>
            <w:top w:w="0" w:type="dxa"/>
            <w:left w:w="108" w:type="dxa"/>
            <w:bottom w:w="0" w:type="dxa"/>
            <w:right w:w="108" w:type="dxa"/>
          </w:tblCellMar>
        </w:tblPrEx>
        <w:trPr>
          <w:trHeight w:val="642" w:hRule="atLeast"/>
        </w:trPr>
        <w:tc>
          <w:tcPr>
            <w:tcW w:w="15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麻醉科</w:t>
            </w:r>
          </w:p>
        </w:tc>
        <w:tc>
          <w:tcPr>
            <w:tcW w:w="10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1</w:t>
            </w:r>
          </w:p>
        </w:tc>
        <w:tc>
          <w:tcPr>
            <w:tcW w:w="22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临床医学、麻醉学</w:t>
            </w:r>
          </w:p>
        </w:tc>
        <w:tc>
          <w:tcPr>
            <w:tcW w:w="12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本科</w:t>
            </w:r>
          </w:p>
        </w:tc>
        <w:tc>
          <w:tcPr>
            <w:tcW w:w="14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主治医师</w:t>
            </w:r>
          </w:p>
        </w:tc>
        <w:tc>
          <w:tcPr>
            <w:tcW w:w="11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0"/>
                <w:szCs w:val="20"/>
              </w:rPr>
            </w:pPr>
          </w:p>
        </w:tc>
      </w:tr>
      <w:tr>
        <w:tblPrEx>
          <w:tblLayout w:type="fixed"/>
          <w:tblCellMar>
            <w:top w:w="0" w:type="dxa"/>
            <w:left w:w="108" w:type="dxa"/>
            <w:bottom w:w="0" w:type="dxa"/>
            <w:right w:w="108" w:type="dxa"/>
          </w:tblCellMar>
        </w:tblPrEx>
        <w:trPr>
          <w:trHeight w:val="458" w:hRule="atLeast"/>
        </w:trPr>
        <w:tc>
          <w:tcPr>
            <w:tcW w:w="15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p>
        </w:tc>
        <w:tc>
          <w:tcPr>
            <w:tcW w:w="10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22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p>
        </w:tc>
        <w:tc>
          <w:tcPr>
            <w:tcW w:w="124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p>
        </w:tc>
        <w:tc>
          <w:tcPr>
            <w:tcW w:w="14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p>
        </w:tc>
        <w:tc>
          <w:tcPr>
            <w:tcW w:w="11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p>
        </w:tc>
      </w:tr>
      <w:tr>
        <w:tblPrEx>
          <w:tblLayout w:type="fixed"/>
          <w:tblCellMar>
            <w:top w:w="0" w:type="dxa"/>
            <w:left w:w="108" w:type="dxa"/>
            <w:bottom w:w="0" w:type="dxa"/>
            <w:right w:w="108" w:type="dxa"/>
          </w:tblCellMar>
        </w:tblPrEx>
        <w:trPr>
          <w:trHeight w:val="735" w:hRule="atLeast"/>
        </w:trPr>
        <w:tc>
          <w:tcPr>
            <w:tcW w:w="8697" w:type="dxa"/>
            <w:gridSpan w:val="6"/>
            <w:tcBorders>
              <w:top w:val="single" w:color="auto" w:sz="4" w:space="0"/>
              <w:left w:val="nil"/>
              <w:bottom w:val="nil"/>
              <w:right w:val="nil"/>
            </w:tcBorders>
            <w:shd w:val="clear" w:color="auto" w:fill="auto"/>
            <w:vAlign w:val="center"/>
          </w:tcPr>
          <w:p>
            <w:pPr>
              <w:widowControl/>
              <w:jc w:val="center"/>
              <w:rPr>
                <w:rFonts w:ascii="宋体" w:hAnsi="宋体" w:eastAsia="宋体" w:cs="宋体"/>
                <w:kern w:val="0"/>
                <w:sz w:val="32"/>
                <w:szCs w:val="32"/>
              </w:rPr>
            </w:pPr>
            <w:r>
              <w:rPr>
                <w:rFonts w:hint="eastAsia" w:ascii="宋体" w:hAnsi="宋体" w:eastAsia="宋体" w:cs="宋体"/>
                <w:kern w:val="0"/>
                <w:sz w:val="32"/>
                <w:szCs w:val="32"/>
              </w:rPr>
              <w:t>咨询电话：0573-85110258</w:t>
            </w:r>
          </w:p>
        </w:tc>
      </w:tr>
    </w:tbl>
    <w:p>
      <w:pPr>
        <w:widowControl/>
        <w:spacing w:line="480" w:lineRule="atLeast"/>
        <w:jc w:val="left"/>
        <w:rPr>
          <w:rFonts w:ascii="宋体" w:hAnsi="宋体" w:eastAsia="宋体" w:cs="宋体"/>
          <w:color w:val="454545"/>
          <w:kern w:val="0"/>
          <w:szCs w:val="21"/>
        </w:rPr>
      </w:pPr>
    </w:p>
    <w:p>
      <w:pPr>
        <w:widowControl/>
        <w:spacing w:line="480" w:lineRule="atLeast"/>
        <w:ind w:firstLine="555"/>
        <w:jc w:val="left"/>
        <w:rPr>
          <w:rFonts w:ascii="宋体" w:hAnsi="宋体" w:eastAsia="宋体" w:cs="宋体"/>
          <w:color w:val="454545"/>
          <w:kern w:val="0"/>
          <w:szCs w:val="21"/>
        </w:rPr>
      </w:pPr>
      <w:r>
        <w:rPr>
          <w:rFonts w:hint="eastAsia" w:ascii="黑体" w:hAnsi="黑体" w:eastAsia="黑体" w:cs="宋体"/>
          <w:color w:val="454545"/>
          <w:kern w:val="0"/>
          <w:sz w:val="29"/>
          <w:szCs w:val="29"/>
        </w:rPr>
        <w:t>二、招聘范围、对象和条件</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（一）具有中华人民共和国国籍，有良好的政治思想素质，拥护党的路线、方针、政策。</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（二）具有良好的社会公德和职业道德，遵纪守法，品行端正，热爱本职工作，能吃苦耐劳。</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（三）具备下列两个条件之一：</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1、地市级及以上医疗卫生单位学科带头人、高级卫生专业技术职务任职资格人员、取得博士学位的卫生专业技术人员，男年龄一般不超过50周岁、女年龄一般不超过45周岁；</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2、紧缺专业中级卫生专业技术职务任职资格人员、取得硕士学位的卫生专业技术人员，年龄一般不超过40周岁。</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（四）符合招聘岗位所需的其他条件。</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上述引进对象须具有正常履行职责的身体条件，符合引进职位要求的工作能力，执业医师注册的执业类别、执业范围符合岗位要求。相关专业技术资格取得时间为2019年7月30日之前。年龄不超过40周岁是指1978年7月30日以后出生，以此类推。</w:t>
      </w:r>
    </w:p>
    <w:p>
      <w:pPr>
        <w:widowControl/>
        <w:spacing w:line="480" w:lineRule="atLeast"/>
        <w:ind w:firstLine="555"/>
        <w:jc w:val="left"/>
        <w:rPr>
          <w:rFonts w:ascii="宋体" w:hAnsi="宋体" w:eastAsia="宋体" w:cs="宋体"/>
          <w:color w:val="454545"/>
          <w:kern w:val="0"/>
          <w:szCs w:val="21"/>
        </w:rPr>
      </w:pPr>
      <w:r>
        <w:rPr>
          <w:rFonts w:hint="eastAsia" w:ascii="黑体" w:hAnsi="黑体" w:eastAsia="黑体" w:cs="宋体"/>
          <w:color w:val="454545"/>
          <w:kern w:val="0"/>
          <w:sz w:val="29"/>
          <w:szCs w:val="29"/>
        </w:rPr>
        <w:t>三、招聘程序和办法</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招聘工作贯彻公开、平等、竞争、</w:t>
      </w:r>
      <w:bookmarkStart w:id="0" w:name="_GoBack"/>
      <w:bookmarkEnd w:id="0"/>
      <w:r>
        <w:rPr>
          <w:rFonts w:hint="eastAsia" w:ascii="仿宋_GB2312" w:hAnsi="宋体" w:eastAsia="仿宋_GB2312" w:cs="宋体"/>
          <w:color w:val="454545"/>
          <w:kern w:val="0"/>
          <w:sz w:val="29"/>
          <w:szCs w:val="29"/>
        </w:rPr>
        <w:t>择优的原则，坚持德才兼备的用人标准，按照发布招聘公告、报名、资格审查、考试、体检、考核、公示、聘用等程序进行。</w:t>
      </w:r>
    </w:p>
    <w:p>
      <w:pPr>
        <w:widowControl/>
        <w:spacing w:line="480" w:lineRule="atLeast"/>
        <w:ind w:firstLine="555"/>
        <w:jc w:val="left"/>
        <w:rPr>
          <w:rFonts w:ascii="宋体" w:hAnsi="宋体" w:eastAsia="宋体" w:cs="宋体"/>
          <w:color w:val="454545"/>
          <w:kern w:val="0"/>
          <w:szCs w:val="21"/>
        </w:rPr>
      </w:pPr>
      <w:r>
        <w:rPr>
          <w:rFonts w:ascii="Times New Roman" w:hAnsi="Times New Roman" w:eastAsia="楷体_GB2312" w:cs="Times New Roman"/>
          <w:color w:val="454545"/>
          <w:kern w:val="0"/>
          <w:sz w:val="29"/>
          <w:szCs w:val="29"/>
        </w:rPr>
        <w:t>（一）报名和资格审查</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1、报名需要提供以下材料：</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①平湖市医疗卫生单位公开招聘高层次、紧缺型卫技人才报名表；</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②本人身份证原件及复印件；</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③学历和学位证书的原件及复印件；</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④专业技术资格证书的原件及复印件；</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⑤反映个人学术水平的专业论文原件及复印件、在研课题证明原件及复印件、学科带头人证书原件及复印件；</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⑥近期一寸正面免冠证件照1张。</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报名人员应对本人提交的信息和材料的真实性负责，凡提供虚假信息而通过资格条件审查的，一经查实，取消其聘用资格。每人限报一个岗位。</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2、报名方式采取网上报名：</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发布公告之日起－2019年8月31日。报名人员可于规定时间内将报名表及相关材料扫描件电子稿发送至妇保</w:t>
      </w:r>
      <w:r>
        <w:rPr>
          <w:rFonts w:ascii="仿宋_GB2312" w:hAnsi="宋体" w:eastAsia="仿宋_GB2312" w:cs="宋体"/>
          <w:color w:val="454545"/>
          <w:kern w:val="0"/>
          <w:sz w:val="29"/>
          <w:szCs w:val="29"/>
        </w:rPr>
        <w:t>院</w:t>
      </w:r>
      <w:r>
        <w:rPr>
          <w:rFonts w:hint="eastAsia" w:ascii="仿宋_GB2312" w:hAnsi="宋体" w:eastAsia="仿宋_GB2312" w:cs="宋体"/>
          <w:color w:val="454545"/>
          <w:kern w:val="0"/>
          <w:sz w:val="29"/>
          <w:szCs w:val="29"/>
        </w:rPr>
        <w:t>报名邮箱：</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平湖市妇幼保健院：PHSFYBJY@163.com</w:t>
      </w:r>
    </w:p>
    <w:p>
      <w:pPr>
        <w:widowControl/>
        <w:spacing w:line="480" w:lineRule="atLeast"/>
        <w:ind w:firstLine="555"/>
        <w:jc w:val="left"/>
        <w:rPr>
          <w:rFonts w:ascii="仿宋_GB2312" w:hAnsi="宋体" w:eastAsia="仿宋_GB2312" w:cs="宋体"/>
          <w:color w:val="454545"/>
          <w:kern w:val="0"/>
          <w:sz w:val="29"/>
          <w:szCs w:val="29"/>
        </w:rPr>
      </w:pPr>
      <w:r>
        <w:rPr>
          <w:rFonts w:hint="eastAsia" w:ascii="仿宋_GB2312" w:hAnsi="宋体" w:eastAsia="仿宋_GB2312" w:cs="宋体"/>
          <w:color w:val="454545"/>
          <w:kern w:val="0"/>
          <w:sz w:val="29"/>
          <w:szCs w:val="29"/>
        </w:rPr>
        <w:t>文件名为“应聘者姓名+应聘单位+应聘岗位”。</w:t>
      </w:r>
    </w:p>
    <w:p>
      <w:pPr>
        <w:widowControl/>
        <w:spacing w:line="480" w:lineRule="atLeast"/>
        <w:ind w:firstLine="555"/>
        <w:jc w:val="left"/>
        <w:rPr>
          <w:rFonts w:ascii="仿宋_GB2312" w:hAnsi="宋体" w:eastAsia="仿宋_GB2312" w:cs="宋体"/>
          <w:color w:val="454545"/>
          <w:kern w:val="0"/>
          <w:sz w:val="29"/>
          <w:szCs w:val="29"/>
        </w:rPr>
      </w:pPr>
      <w:r>
        <w:rPr>
          <w:rFonts w:hint="eastAsia" w:ascii="仿宋_GB2312" w:hAnsi="宋体" w:eastAsia="仿宋_GB2312" w:cs="宋体"/>
          <w:color w:val="454545"/>
          <w:kern w:val="0"/>
          <w:sz w:val="29"/>
          <w:szCs w:val="29"/>
        </w:rPr>
        <w:t>联</w:t>
      </w:r>
      <w:r>
        <w:rPr>
          <w:rFonts w:ascii="仿宋_GB2312" w:hAnsi="宋体" w:eastAsia="仿宋_GB2312" w:cs="宋体"/>
          <w:color w:val="454545"/>
          <w:kern w:val="0"/>
          <w:sz w:val="29"/>
          <w:szCs w:val="29"/>
        </w:rPr>
        <w:t>系电话：</w:t>
      </w:r>
      <w:r>
        <w:rPr>
          <w:rFonts w:hint="eastAsia" w:ascii="仿宋_GB2312" w:hAnsi="宋体" w:eastAsia="仿宋_GB2312" w:cs="宋体"/>
          <w:color w:val="454545"/>
          <w:kern w:val="0"/>
          <w:sz w:val="29"/>
          <w:szCs w:val="29"/>
        </w:rPr>
        <w:t>0</w:t>
      </w:r>
      <w:r>
        <w:rPr>
          <w:rFonts w:ascii="仿宋_GB2312" w:hAnsi="宋体" w:eastAsia="仿宋_GB2312" w:cs="宋体"/>
          <w:color w:val="454545"/>
          <w:kern w:val="0"/>
          <w:sz w:val="29"/>
          <w:szCs w:val="29"/>
        </w:rPr>
        <w:t>5</w:t>
      </w:r>
      <w:r>
        <w:rPr>
          <w:rFonts w:hint="eastAsia" w:ascii="仿宋_GB2312" w:hAnsi="宋体" w:eastAsia="仿宋_GB2312" w:cs="宋体"/>
          <w:color w:val="454545"/>
          <w:kern w:val="0"/>
          <w:sz w:val="29"/>
          <w:szCs w:val="29"/>
        </w:rPr>
        <w:t>73-----</w:t>
      </w:r>
      <w:r>
        <w:rPr>
          <w:rFonts w:ascii="仿宋_GB2312" w:hAnsi="宋体" w:eastAsia="仿宋_GB2312" w:cs="宋体"/>
          <w:color w:val="454545"/>
          <w:kern w:val="0"/>
          <w:sz w:val="29"/>
          <w:szCs w:val="29"/>
        </w:rPr>
        <w:t xml:space="preserve">85110258    </w:t>
      </w:r>
      <w:r>
        <w:rPr>
          <w:rFonts w:hint="eastAsia" w:ascii="仿宋_GB2312" w:hAnsi="宋体" w:eastAsia="仿宋_GB2312" w:cs="宋体"/>
          <w:color w:val="454545"/>
          <w:kern w:val="0"/>
          <w:sz w:val="29"/>
          <w:szCs w:val="29"/>
        </w:rPr>
        <w:t>夏老</w:t>
      </w:r>
      <w:r>
        <w:rPr>
          <w:rFonts w:ascii="仿宋_GB2312" w:hAnsi="宋体" w:eastAsia="仿宋_GB2312" w:cs="宋体"/>
          <w:color w:val="454545"/>
          <w:kern w:val="0"/>
          <w:sz w:val="29"/>
          <w:szCs w:val="29"/>
        </w:rPr>
        <w:t>师</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我</w:t>
      </w:r>
      <w:r>
        <w:rPr>
          <w:rFonts w:ascii="仿宋_GB2312" w:hAnsi="宋体" w:eastAsia="仿宋_GB2312" w:cs="宋体"/>
          <w:color w:val="454545"/>
          <w:kern w:val="0"/>
          <w:sz w:val="29"/>
          <w:szCs w:val="29"/>
        </w:rPr>
        <w:t>院会同</w:t>
      </w:r>
      <w:r>
        <w:rPr>
          <w:rFonts w:hint="eastAsia" w:ascii="仿宋_GB2312" w:hAnsi="宋体" w:eastAsia="仿宋_GB2312" w:cs="宋体"/>
          <w:color w:val="454545"/>
          <w:kern w:val="0"/>
          <w:sz w:val="29"/>
          <w:szCs w:val="29"/>
        </w:rPr>
        <w:t>平湖市卫生健康局组织人事科根据岗位所需条件对报名人员进行资格初审，并通过电子邮件或手机短信向报名人员反馈初审结果。通过电子邮件报名的人员参加考试时请携带好相关材料的原件以供审核。审核不通过的，取消考试资格。</w:t>
      </w:r>
    </w:p>
    <w:p>
      <w:pPr>
        <w:widowControl/>
        <w:spacing w:line="480" w:lineRule="atLeast"/>
        <w:ind w:firstLine="555"/>
        <w:jc w:val="left"/>
        <w:rPr>
          <w:rFonts w:ascii="宋体" w:hAnsi="宋体" w:eastAsia="宋体" w:cs="宋体"/>
          <w:color w:val="454545"/>
          <w:kern w:val="0"/>
          <w:szCs w:val="21"/>
        </w:rPr>
      </w:pPr>
      <w:r>
        <w:rPr>
          <w:rFonts w:ascii="Times New Roman" w:hAnsi="Times New Roman" w:eastAsia="楷体_GB2312" w:cs="Times New Roman"/>
          <w:color w:val="454545"/>
          <w:kern w:val="0"/>
          <w:sz w:val="29"/>
          <w:szCs w:val="29"/>
        </w:rPr>
        <w:t>（二）考试</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考试采取面试的方式进行，面试工作由平湖市卫生健康局组织实施。面试内容为相关学科、专业知识，满分为100分，合格分为60分。面试不合格的不列入体检、考核对象。面试时间、地点另行通知，面试对象不按规定的时间和地点参加面试的，视作放弃面试。</w:t>
      </w:r>
    </w:p>
    <w:p>
      <w:pPr>
        <w:widowControl/>
        <w:spacing w:line="480" w:lineRule="atLeast"/>
        <w:ind w:firstLine="555"/>
        <w:jc w:val="left"/>
        <w:rPr>
          <w:rFonts w:ascii="宋体" w:hAnsi="宋体" w:eastAsia="宋体" w:cs="宋体"/>
          <w:color w:val="454545"/>
          <w:kern w:val="0"/>
          <w:szCs w:val="21"/>
        </w:rPr>
      </w:pPr>
      <w:r>
        <w:rPr>
          <w:rFonts w:ascii="Times New Roman" w:hAnsi="Times New Roman" w:eastAsia="楷体_GB2312" w:cs="Times New Roman"/>
          <w:color w:val="454545"/>
          <w:kern w:val="0"/>
          <w:sz w:val="29"/>
          <w:szCs w:val="29"/>
        </w:rPr>
        <w:t>（三）体检</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根据面试成绩从高分到低分按招聘岗位人数的1：1比例确定体检对象。体检工作参照人社部、原卫生部、国家公务员局《关于进一步做好公务员考试录用体检工作的通知》（人社部发〔2012〕65号）执行。体检按人社部、原国家卫计委、国家公务员局《关于修订〈公务员录用体检通用标准（试行）〉及〈公务员录用体检操作手册（试行）〉有关内容的通知》（人社部发〔2016〕140号）执行。报考人员不按规定时间、地点参加体检，视作放弃体检。体检不合格者，不列入考核对象。体检不合格或放弃的，依次递补（未参加面试和面试不合格的人员不得递补）。</w:t>
      </w:r>
    </w:p>
    <w:p>
      <w:pPr>
        <w:widowControl/>
        <w:spacing w:line="480" w:lineRule="atLeast"/>
        <w:ind w:firstLine="555"/>
        <w:jc w:val="left"/>
        <w:rPr>
          <w:rFonts w:ascii="宋体" w:hAnsi="宋体" w:eastAsia="宋体" w:cs="宋体"/>
          <w:color w:val="454545"/>
          <w:kern w:val="0"/>
          <w:szCs w:val="21"/>
        </w:rPr>
      </w:pPr>
      <w:r>
        <w:rPr>
          <w:rFonts w:ascii="Times New Roman" w:hAnsi="Times New Roman" w:eastAsia="楷体_GB2312" w:cs="Times New Roman"/>
          <w:color w:val="454545"/>
          <w:kern w:val="0"/>
          <w:sz w:val="29"/>
          <w:szCs w:val="29"/>
        </w:rPr>
        <w:t>（四）考核</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考核参照国家公务员局《关于做好公务员录用考察工作的通知》（国公局发〔2013〕2号）执行。主要对体检合格的人员进行资格条件的复核和德、能、勤、绩、廉以及需要回避的情况等考核，考核不合格不予聘用。</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考核结果仅作为本次是否聘用的依据。考核不合格的不得聘用，并依次递补（未参加面试和面试不合格的人员不得递补）。</w:t>
      </w:r>
    </w:p>
    <w:p>
      <w:pPr>
        <w:widowControl/>
        <w:spacing w:line="480" w:lineRule="atLeast"/>
        <w:ind w:firstLine="555"/>
        <w:jc w:val="left"/>
        <w:rPr>
          <w:rFonts w:ascii="宋体" w:hAnsi="宋体" w:eastAsia="宋体" w:cs="宋体"/>
          <w:color w:val="454545"/>
          <w:kern w:val="0"/>
          <w:szCs w:val="21"/>
        </w:rPr>
      </w:pPr>
      <w:r>
        <w:rPr>
          <w:rFonts w:ascii="Times New Roman" w:hAnsi="Times New Roman" w:eastAsia="楷体_GB2312" w:cs="Times New Roman"/>
          <w:color w:val="454545"/>
          <w:kern w:val="0"/>
          <w:sz w:val="29"/>
          <w:szCs w:val="29"/>
        </w:rPr>
        <w:t>（五）公示</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根据考试、体检、考核结果等，确定拟聘用人员名单，在中国平湖门户网站（/）平湖市卫生健康局信息公开栏、平湖人才信息网（http://www.phrcsc.com.cn/）公示7个工作日。在拟聘用人员名单公示前自愿放弃聘用资格的，依次递补（未参加面试和面试不合格的人员不得递补）。拟聘用名单公示后，将不再递补。在公示期间，对拟聘用人员有反映问题的，由平湖市卫生健康局进行调查核实，并提出相应的处理意见，报市人力社保局核准。公示期满后，没有反映问题或反映有问题经查实不影响聘用的，予以聘用。对反映有影响聘用问题并查有实据的，不予聘用；对反映的问题一时难以查实的，将暂缓聘用，待查清后再决定是否聘用。</w:t>
      </w:r>
    </w:p>
    <w:p>
      <w:pPr>
        <w:widowControl/>
        <w:spacing w:line="480" w:lineRule="atLeast"/>
        <w:ind w:firstLine="555"/>
        <w:jc w:val="left"/>
        <w:rPr>
          <w:rFonts w:ascii="宋体" w:hAnsi="宋体" w:eastAsia="宋体" w:cs="宋体"/>
          <w:color w:val="454545"/>
          <w:kern w:val="0"/>
          <w:szCs w:val="21"/>
        </w:rPr>
      </w:pPr>
      <w:r>
        <w:rPr>
          <w:rFonts w:ascii="Times New Roman" w:hAnsi="Times New Roman" w:eastAsia="楷体_GB2312" w:cs="Times New Roman"/>
          <w:color w:val="454545"/>
          <w:kern w:val="0"/>
          <w:sz w:val="29"/>
          <w:szCs w:val="29"/>
        </w:rPr>
        <w:t>（六）聘用</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确定聘用人选后，按《浙江省事业单位人员聘用制度试行细则》等文件规定执行。拟聘用人员无正当理由未在规定时间内报到的，取消聘用资格。</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聘用人员与招聘单位签订事业单位聘用合同，并按规定约定试用期。试用期满后，考核合格者，予以正式聘用；不合格的，取消聘用。</w:t>
      </w:r>
    </w:p>
    <w:p>
      <w:pPr>
        <w:widowControl/>
        <w:spacing w:line="480" w:lineRule="atLeast"/>
        <w:ind w:firstLine="555"/>
        <w:jc w:val="left"/>
        <w:rPr>
          <w:rFonts w:ascii="宋体" w:hAnsi="宋体" w:eastAsia="宋体" w:cs="宋体"/>
          <w:color w:val="454545"/>
          <w:kern w:val="0"/>
          <w:szCs w:val="21"/>
        </w:rPr>
      </w:pPr>
      <w:r>
        <w:rPr>
          <w:rFonts w:hint="eastAsia" w:ascii="黑体" w:hAnsi="黑体" w:eastAsia="黑体" w:cs="宋体"/>
          <w:color w:val="454545"/>
          <w:kern w:val="0"/>
          <w:sz w:val="29"/>
          <w:szCs w:val="29"/>
        </w:rPr>
        <w:t>四、其他说明</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1、本次公开招聘应聘人员若符合《平湖市人民政府办公室转发市卫生局市人力社保局市财政局关于加强卫生人才队伍建设若干意见的通知》（平政办发〔2014〕26号）确定的高层次、紧缺型卫生人才引进条件的，可按规定享受相应政策待遇。平湖市第二人民医院应聘人员若符合《嘉兴港区党工委办公室嘉兴港区管委会办公室加强港区医疗卫生人才队伍建设的若干意见》（嘉港区工委办〔2014〕21号）确定的高层次、紧缺型卫生人才引进条件的，可按规定享受相应政策待遇。其中已享受过相关引进人才政策待遇的、原在平湖市辖区医疗卫生单位（含港区医院）工作并已取得中级及以上卫生专业技术职务任职资格的，辞职离开后再次应聘的，或者在平湖市辖区医疗卫生单位（含港区医院）之间流转应聘的，不享受引进人才政策待遇。</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2、本次公开招聘工作由平湖市卫生健康局按有关规定组织实施，平湖市人力社保局监督指导。对考试违纪违规行为的认定和处理，按照《事业单位公开招聘违纪违规行为处理规定》（人社部令第35号）执行。</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3、本次公开招聘相关的各项后续事宜相关信息将在中国平湖门户网站（http://www.pinghu.gov.cn/）平湖市卫生健康局信息公开栏、平湖人才信息网（http://www.phrcsc.com.cn/）公布。请应聘者注意浏览，并欢迎社会各界监督。本公告未尽事宜，由平湖市卫生健康局按有关文件规定执行。</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咨询电话：0573—85023587，85111683</w:t>
      </w:r>
    </w:p>
    <w:p>
      <w:pPr>
        <w:widowControl/>
        <w:spacing w:line="480" w:lineRule="atLeast"/>
        <w:ind w:firstLine="555"/>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监督电话：0573—89170872</w:t>
      </w:r>
    </w:p>
    <w:p>
      <w:pPr>
        <w:widowControl/>
        <w:spacing w:line="480" w:lineRule="atLeast"/>
        <w:ind w:firstLine="3335" w:firstLineChars="1150"/>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平湖市妇幼保健</w:t>
      </w:r>
      <w:r>
        <w:rPr>
          <w:rFonts w:ascii="仿宋_GB2312" w:hAnsi="宋体" w:eastAsia="仿宋_GB2312" w:cs="宋体"/>
          <w:color w:val="454545"/>
          <w:kern w:val="0"/>
          <w:sz w:val="29"/>
          <w:szCs w:val="29"/>
        </w:rPr>
        <w:t>院</w:t>
      </w:r>
    </w:p>
    <w:p>
      <w:pPr>
        <w:widowControl/>
        <w:spacing w:line="480" w:lineRule="atLeast"/>
        <w:ind w:firstLine="3335" w:firstLineChars="1150"/>
        <w:jc w:val="left"/>
        <w:rPr>
          <w:rFonts w:ascii="宋体" w:hAnsi="宋体" w:eastAsia="宋体" w:cs="宋体"/>
          <w:color w:val="454545"/>
          <w:kern w:val="0"/>
          <w:szCs w:val="21"/>
        </w:rPr>
      </w:pPr>
      <w:r>
        <w:rPr>
          <w:rFonts w:hint="eastAsia" w:ascii="仿宋_GB2312" w:hAnsi="宋体" w:eastAsia="仿宋_GB2312" w:cs="宋体"/>
          <w:color w:val="454545"/>
          <w:kern w:val="0"/>
          <w:sz w:val="29"/>
          <w:szCs w:val="29"/>
        </w:rPr>
        <w:t>2019年7月30日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8CF3C50" w:usb2="00000016" w:usb3="00000000" w:csb0="0004001F" w:csb1="00000000"/>
  </w:font>
  <w:font w:name="楷体_GB2312">
    <w:altName w:val="楷体"/>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3DE"/>
    <w:rsid w:val="000A3CA1"/>
    <w:rsid w:val="001F2B84"/>
    <w:rsid w:val="002F42A0"/>
    <w:rsid w:val="002F57B5"/>
    <w:rsid w:val="00331AE2"/>
    <w:rsid w:val="00850D82"/>
    <w:rsid w:val="00861264"/>
    <w:rsid w:val="00A27EFD"/>
    <w:rsid w:val="00A5416A"/>
    <w:rsid w:val="00BD0DB0"/>
    <w:rsid w:val="00DD0B01"/>
    <w:rsid w:val="00E6658F"/>
    <w:rsid w:val="00E943DE"/>
    <w:rsid w:val="00F10790"/>
    <w:rsid w:val="6CC95D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452</Words>
  <Characters>2580</Characters>
  <Lines>21</Lines>
  <Paragraphs>6</Paragraphs>
  <TotalTime>130</TotalTime>
  <ScaleCrop>false</ScaleCrop>
  <LinksUpToDate>false</LinksUpToDate>
  <CharactersWithSpaces>3026</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2019-07-30T04:55:00Z</dcterms:created>
  <dc:creator>Administrator</dc:creator>
  <cp:lastModifiedBy>老和裹脚布</cp:lastModifiedBy>
  <dcterms:modified xsi:type="dcterms:W3CDTF">2019-07-30T08:04:16Z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