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W w:w="84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29"/>
        <w:gridCol w:w="519"/>
        <w:gridCol w:w="421"/>
        <w:gridCol w:w="504"/>
        <w:gridCol w:w="549"/>
        <w:gridCol w:w="406"/>
        <w:gridCol w:w="284"/>
        <w:gridCol w:w="285"/>
        <w:gridCol w:w="504"/>
        <w:gridCol w:w="587"/>
        <w:gridCol w:w="1184"/>
        <w:gridCol w:w="428"/>
        <w:gridCol w:w="565"/>
        <w:gridCol w:w="723"/>
        <w:gridCol w:w="7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285" w:hRule="atLeast"/>
        </w:trPr>
        <w:tc>
          <w:tcPr>
            <w:tcW w:w="7688" w:type="dxa"/>
            <w:gridSpan w:val="14"/>
            <w:vMerge w:val="restart"/>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ascii="微软雅黑" w:hAnsi="微软雅黑" w:eastAsia="微软雅黑" w:cs="微软雅黑"/>
                <w:i w:val="0"/>
                <w:color w:val="000000"/>
                <w:sz w:val="36"/>
                <w:szCs w:val="36"/>
                <w:u w:val="none"/>
              </w:rPr>
            </w:pPr>
            <w:r>
              <w:rPr>
                <w:rFonts w:hint="eastAsia" w:ascii="微软雅黑" w:hAnsi="微软雅黑" w:eastAsia="微软雅黑" w:cs="微软雅黑"/>
                <w:i w:val="0"/>
                <w:color w:val="000000"/>
                <w:kern w:val="0"/>
                <w:sz w:val="36"/>
                <w:szCs w:val="36"/>
                <w:u w:val="none"/>
                <w:bdr w:val="none" w:color="auto" w:sz="0" w:space="0"/>
                <w:lang w:val="en-US" w:eastAsia="zh-CN" w:bidi="ar"/>
              </w:rPr>
              <w:t>乌审旗公开招考旗直卫生健康单位政府购买医疗卫生专业技术服务人员计划表</w:t>
            </w:r>
          </w:p>
        </w:tc>
        <w:tc>
          <w:tcPr>
            <w:tcW w:w="714" w:type="dxa"/>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kern w:val="0"/>
                <w:sz w:val="36"/>
                <w:szCs w:val="36"/>
                <w:u w:val="none"/>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7688" w:type="dxa"/>
            <w:gridSpan w:val="14"/>
            <w:vMerge w:val="continue"/>
            <w:shd w:val="clear"/>
            <w:tcMar>
              <w:top w:w="0" w:type="dxa"/>
              <w:left w:w="0" w:type="dxa"/>
              <w:bottom w:w="0" w:type="dxa"/>
              <w:right w:w="0" w:type="dxa"/>
            </w:tcMar>
            <w:vAlign w:val="center"/>
          </w:tcPr>
          <w:p>
            <w:pPr>
              <w:jc w:val="center"/>
              <w:rPr>
                <w:rFonts w:hint="eastAsia" w:ascii="微软雅黑" w:hAnsi="微软雅黑" w:eastAsia="微软雅黑" w:cs="微软雅黑"/>
                <w:i w:val="0"/>
                <w:color w:val="000000"/>
                <w:sz w:val="36"/>
                <w:szCs w:val="36"/>
                <w:u w:val="none"/>
              </w:rPr>
            </w:pPr>
          </w:p>
        </w:tc>
        <w:tc>
          <w:tcPr>
            <w:tcW w:w="714" w:type="dxa"/>
            <w:shd w:val="clear"/>
            <w:tcMar>
              <w:top w:w="0" w:type="dxa"/>
              <w:left w:w="0" w:type="dxa"/>
              <w:bottom w:w="0" w:type="dxa"/>
              <w:right w:w="0" w:type="dxa"/>
            </w:tcMar>
            <w:vAlign w:val="center"/>
          </w:tcPr>
          <w:p>
            <w:pPr>
              <w:jc w:val="center"/>
              <w:rPr>
                <w:rFonts w:hint="eastAsia" w:ascii="微软雅黑" w:hAnsi="微软雅黑" w:eastAsia="微软雅黑" w:cs="微软雅黑"/>
                <w:i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729"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岗位、专业</w:t>
            </w:r>
          </w:p>
        </w:tc>
        <w:tc>
          <w:tcPr>
            <w:tcW w:w="519"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 xml:space="preserve">临床医学  </w:t>
            </w:r>
          </w:p>
        </w:tc>
        <w:tc>
          <w:tcPr>
            <w:tcW w:w="421"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麻醉学</w:t>
            </w:r>
          </w:p>
        </w:tc>
        <w:tc>
          <w:tcPr>
            <w:tcW w:w="504"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蒙医学</w:t>
            </w:r>
          </w:p>
        </w:tc>
        <w:tc>
          <w:tcPr>
            <w:tcW w:w="549"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中医学</w:t>
            </w:r>
          </w:p>
        </w:tc>
        <w:tc>
          <w:tcPr>
            <w:tcW w:w="406"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西药学</w:t>
            </w:r>
          </w:p>
        </w:tc>
        <w:tc>
          <w:tcPr>
            <w:tcW w:w="569" w:type="dxa"/>
            <w:gridSpan w:val="2"/>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医学影像</w:t>
            </w:r>
          </w:p>
        </w:tc>
        <w:tc>
          <w:tcPr>
            <w:tcW w:w="504"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口腔医学</w:t>
            </w:r>
          </w:p>
        </w:tc>
        <w:tc>
          <w:tcPr>
            <w:tcW w:w="587"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预防医学和公共卫生</w:t>
            </w:r>
          </w:p>
        </w:tc>
        <w:tc>
          <w:tcPr>
            <w:tcW w:w="1184"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 xml:space="preserve">食品质量与安全专业及食品营养与检验专业    </w:t>
            </w:r>
          </w:p>
        </w:tc>
        <w:tc>
          <w:tcPr>
            <w:tcW w:w="428" w:type="dxa"/>
            <w:vMerge w:val="restart"/>
            <w:tcBorders>
              <w:top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护理学</w:t>
            </w:r>
          </w:p>
        </w:tc>
        <w:tc>
          <w:tcPr>
            <w:tcW w:w="565"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计算机及计算机软件专业</w:t>
            </w:r>
          </w:p>
        </w:tc>
        <w:tc>
          <w:tcPr>
            <w:tcW w:w="723" w:type="dxa"/>
            <w:vMerge w:val="restart"/>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合计</w:t>
            </w:r>
          </w:p>
        </w:tc>
        <w:tc>
          <w:tcPr>
            <w:tcW w:w="71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kern w:val="0"/>
                <w:sz w:val="20"/>
                <w:szCs w:val="20"/>
                <w:u w:val="none"/>
                <w:bdr w:val="none" w:color="auto" w:sz="0" w:space="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0" w:hRule="atLeast"/>
        </w:trPr>
        <w:tc>
          <w:tcPr>
            <w:tcW w:w="729"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19"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421"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04"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406"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28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放射</w:t>
            </w:r>
          </w:p>
        </w:tc>
        <w:tc>
          <w:tcPr>
            <w:tcW w:w="285"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超声</w:t>
            </w:r>
          </w:p>
        </w:tc>
        <w:tc>
          <w:tcPr>
            <w:tcW w:w="504"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1184"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428" w:type="dxa"/>
            <w:vMerge w:val="continue"/>
            <w:tcBorders>
              <w:top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565"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723"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71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729"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 xml:space="preserve"> 学历要求  </w:t>
            </w:r>
          </w:p>
        </w:tc>
        <w:tc>
          <w:tcPr>
            <w:tcW w:w="6236" w:type="dxa"/>
            <w:gridSpan w:val="12"/>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全日制本科及以上</w:t>
            </w:r>
          </w:p>
        </w:tc>
        <w:tc>
          <w:tcPr>
            <w:tcW w:w="723" w:type="dxa"/>
            <w:vMerge w:val="continue"/>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c>
          <w:tcPr>
            <w:tcW w:w="71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jc w:val="center"/>
              <w:rPr>
                <w:rFonts w:hint="eastAsia" w:ascii="微软雅黑" w:hAnsi="微软雅黑" w:eastAsia="微软雅黑" w:cs="微软雅黑"/>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729"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b/>
                <w:i w:val="0"/>
                <w:color w:val="000000"/>
                <w:sz w:val="20"/>
                <w:szCs w:val="20"/>
                <w:u w:val="none"/>
              </w:rPr>
            </w:pPr>
            <w:r>
              <w:rPr>
                <w:rFonts w:hint="eastAsia" w:ascii="微软雅黑" w:hAnsi="微软雅黑" w:eastAsia="微软雅黑" w:cs="微软雅黑"/>
                <w:b/>
                <w:i w:val="0"/>
                <w:color w:val="000000"/>
                <w:kern w:val="0"/>
                <w:sz w:val="20"/>
                <w:szCs w:val="20"/>
                <w:u w:val="none"/>
                <w:bdr w:val="none" w:color="auto" w:sz="0" w:space="0"/>
                <w:lang w:val="en-US" w:eastAsia="zh-CN" w:bidi="ar"/>
              </w:rPr>
              <w:t>旗直卫生健康单位</w:t>
            </w:r>
          </w:p>
        </w:tc>
        <w:tc>
          <w:tcPr>
            <w:tcW w:w="519"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421"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1</w:t>
            </w:r>
          </w:p>
        </w:tc>
        <w:tc>
          <w:tcPr>
            <w:tcW w:w="50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1</w:t>
            </w:r>
          </w:p>
        </w:tc>
        <w:tc>
          <w:tcPr>
            <w:tcW w:w="549"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 </w:t>
            </w:r>
          </w:p>
        </w:tc>
        <w:tc>
          <w:tcPr>
            <w:tcW w:w="406"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1</w:t>
            </w:r>
          </w:p>
        </w:tc>
        <w:tc>
          <w:tcPr>
            <w:tcW w:w="28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285"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 </w:t>
            </w:r>
          </w:p>
        </w:tc>
        <w:tc>
          <w:tcPr>
            <w:tcW w:w="50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 </w:t>
            </w:r>
          </w:p>
        </w:tc>
        <w:tc>
          <w:tcPr>
            <w:tcW w:w="587"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118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428"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1</w:t>
            </w:r>
          </w:p>
        </w:tc>
        <w:tc>
          <w:tcPr>
            <w:tcW w:w="565"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bdr w:val="none" w:color="auto" w:sz="0" w:space="0"/>
                <w:lang w:val="en-US" w:eastAsia="zh-CN" w:bidi="ar"/>
              </w:rPr>
              <w:t>14</w:t>
            </w:r>
          </w:p>
        </w:tc>
        <w:tc>
          <w:tcPr>
            <w:tcW w:w="714" w:type="dxa"/>
            <w:tcBorders>
              <w:top w:val="single" w:color="000000" w:sz="4" w:space="0"/>
              <w:left w:val="single" w:color="000000" w:sz="4" w:space="0"/>
              <w:bottom w:val="single" w:color="000000" w:sz="4" w:space="0"/>
              <w:right w:val="single" w:color="000000" w:sz="4" w:space="0"/>
            </w:tcBorders>
            <w:shd w:val="clear"/>
            <w:tcMar>
              <w:top w:w="0" w:type="dxa"/>
              <w:left w:w="0" w:type="dxa"/>
              <w:bottom w:w="0" w:type="dxa"/>
              <w:right w:w="0" w:type="dxa"/>
            </w:tcMar>
            <w:vAlign w:val="center"/>
          </w:tcPr>
          <w:p>
            <w:pPr>
              <w:keepNext w:val="0"/>
              <w:keepLines w:val="0"/>
              <w:widowControl/>
              <w:suppressLineNumbers w:val="0"/>
              <w:spacing w:line="21" w:lineRule="atLeast"/>
              <w:jc w:val="center"/>
              <w:textAlignment w:val="center"/>
              <w:rPr>
                <w:rFonts w:hint="eastAsia" w:ascii="微软雅黑" w:hAnsi="微软雅黑" w:eastAsia="微软雅黑" w:cs="微软雅黑"/>
                <w:i w:val="0"/>
                <w:color w:val="000000"/>
                <w:kern w:val="0"/>
                <w:sz w:val="20"/>
                <w:szCs w:val="20"/>
                <w:u w:val="none"/>
                <w:bdr w:val="none" w:color="auto" w:sz="0" w:space="0"/>
                <w:lang w:val="en-US" w:eastAsia="zh-CN" w:bidi="ar"/>
              </w:rPr>
            </w:pPr>
          </w:p>
        </w:tc>
      </w:tr>
    </w:tbl>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C0632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uiPriority w:val="0"/>
    <w:rPr>
      <w:color w:val="414141"/>
      <w:u w:val="none"/>
    </w:rPr>
  </w:style>
  <w:style w:type="character" w:styleId="5">
    <w:name w:val="HTML Definition"/>
    <w:basedOn w:val="2"/>
    <w:uiPriority w:val="0"/>
    <w:rPr>
      <w:i/>
    </w:rPr>
  </w:style>
  <w:style w:type="character" w:styleId="6">
    <w:name w:val="Hyperlink"/>
    <w:basedOn w:val="2"/>
    <w:uiPriority w:val="0"/>
    <w:rPr>
      <w:color w:val="414141"/>
      <w:u w:val="none"/>
    </w:rPr>
  </w:style>
  <w:style w:type="character" w:styleId="7">
    <w:name w:val="HTML Code"/>
    <w:basedOn w:val="2"/>
    <w:uiPriority w:val="0"/>
    <w:rPr>
      <w:rFonts w:hint="default" w:ascii="Menlo" w:hAnsi="Menlo" w:eastAsia="Menlo" w:cs="Menlo"/>
      <w:color w:val="C7254E"/>
      <w:sz w:val="21"/>
      <w:szCs w:val="21"/>
      <w:bdr w:val="single" w:color="B3B3B3" w:sz="12" w:space="0"/>
      <w:shd w:val="clear" w:fill="F9F2F4"/>
    </w:rPr>
  </w:style>
  <w:style w:type="character" w:styleId="8">
    <w:name w:val="HTML Keyboard"/>
    <w:basedOn w:val="2"/>
    <w:uiPriority w:val="0"/>
    <w:rPr>
      <w:rFonts w:hint="default" w:ascii="Menlo" w:hAnsi="Menlo" w:eastAsia="Menlo" w:cs="Menlo"/>
      <w:color w:val="FFFFFF"/>
      <w:sz w:val="21"/>
      <w:szCs w:val="21"/>
      <w:bdr w:val="none" w:color="auto" w:sz="0" w:space="0"/>
      <w:shd w:val="clear" w:fill="333333"/>
    </w:rPr>
  </w:style>
  <w:style w:type="character" w:styleId="9">
    <w:name w:val="HTML Sample"/>
    <w:basedOn w:val="2"/>
    <w:uiPriority w:val="0"/>
    <w:rPr>
      <w:rFonts w:ascii="Menlo" w:hAnsi="Menlo" w:eastAsia="Menlo" w:cs="Menlo"/>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2019-07-13T01:47:08Z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