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697"/>
        <w:gridCol w:w="1870"/>
        <w:gridCol w:w="826"/>
        <w:gridCol w:w="2028"/>
        <w:gridCol w:w="269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4093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882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2019年菏泽市牡丹区中医医院公开招聘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82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高层次、短缺人才岗位专业技术工作人员计划一览表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高层次、短缺人才岗位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全日制研究生学历，硕士及以上学位；          </w:t>
            </w:r>
          </w:p>
        </w:tc>
        <w:tc>
          <w:tcPr>
            <w:tcW w:w="26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1、具有执业医师资格；               2、同时取得规培证。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血液科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内分泌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肿瘤学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心内科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康复医学与理疗学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眼视光医学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麻醉学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中西医结合临床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中医儿科学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中医骨伤科学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中医内科学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中医外科学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中西医结合眼科或中医眼科学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口腔颌面外科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中医妇科学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牡丹分院岗位计划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中医理论及基础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具有执业医师资格       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经济法学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有本专业5年及以上工作经历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心理类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应用心理学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1B1476"/>
    <w:rsid w:val="271B1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2019-06-26T08:14:00Z</dcterms:created>
  <dc:creator>abc</dc:creator>
  <cp:lastModifiedBy>abc</cp:lastModifiedBy>
  <dcterms:modified xsi:type="dcterms:W3CDTF">2019-06-26T08:15:51Z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