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9"/>
          <w:szCs w:val="19"/>
          <w:bdr w:val="none" w:color="auto" w:sz="0" w:space="0"/>
        </w:rPr>
        <w:t>招聘岗位和指标</w:t>
      </w:r>
    </w:p>
    <w:tbl>
      <w:tblPr>
        <w:tblW w:w="7488" w:type="dxa"/>
        <w:jc w:val="center"/>
        <w:tblCellSpacing w:w="0" w:type="dxa"/>
        <w:tblInd w:w="4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876"/>
        <w:gridCol w:w="1156"/>
        <w:gridCol w:w="1360"/>
        <w:gridCol w:w="1864"/>
        <w:gridCol w:w="4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tblCellSpacing w:w="0" w:type="dxa"/>
          <w:jc w:val="center"/>
        </w:trPr>
        <w:tc>
          <w:tcPr>
            <w:tcW w:w="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岗位</w:t>
            </w:r>
          </w:p>
        </w:tc>
        <w:tc>
          <w:tcPr>
            <w:tcW w:w="1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所需专业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学历要求</w:t>
            </w:r>
          </w:p>
        </w:tc>
        <w:tc>
          <w:tcPr>
            <w:tcW w:w="1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执业资格或职称要求</w:t>
            </w:r>
          </w:p>
        </w:tc>
        <w:tc>
          <w:tcPr>
            <w:tcW w:w="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招聘指标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tblCellSpacing w:w="0" w:type="dxa"/>
          <w:jc w:val="center"/>
        </w:trPr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内科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国家承认本科及以上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执业医师及以上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tblCellSpacing w:w="0" w:type="dxa"/>
          <w:jc w:val="center"/>
        </w:trPr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外科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国家承认本科及以上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执业医师及以上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tblCellSpacing w:w="0" w:type="dxa"/>
          <w:jc w:val="center"/>
        </w:trPr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影像科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医学影像技术、医学影像学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全日制大专及以上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放射技士及以上（2019年应届毕业生不做要求）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tblCellSpacing w:w="0" w:type="dxa"/>
          <w:jc w:val="center"/>
        </w:trPr>
        <w:tc>
          <w:tcPr>
            <w:tcW w:w="5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药房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药学、临床药学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药师及以上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35周岁及以下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D20"/>
    <w:rsid w:val="00635D20"/>
    <w:rsid w:val="006E2730"/>
    <w:rsid w:val="00C7155F"/>
    <w:rsid w:val="624F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_Style 4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0</TotalTime>
  <ScaleCrop>false</ScaleCrop>
  <LinksUpToDate>false</LinksUpToDate>
  <CharactersWithSpaces>315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2019-05-31T02:48:00Z</dcterms:created>
  <dc:creator>cgh</dc:creator>
  <cp:lastModifiedBy>国超科技</cp:lastModifiedBy>
  <dcterms:modified xsi:type="dcterms:W3CDTF">2019-06-04T09:08:15Z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