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1" w:type="dxa"/>
        <w:tblInd w:w="140" w:type="dxa"/>
        <w:tblBorders>
          <w:top w:val="single" w:color="00AF50" w:sz="4" w:space="0"/>
          <w:left w:val="single" w:color="00AF50" w:sz="4" w:space="0"/>
          <w:bottom w:val="single" w:color="00AF50" w:sz="4" w:space="0"/>
          <w:right w:val="single" w:color="00AF50" w:sz="4" w:space="0"/>
          <w:insideH w:val="single" w:color="00AF50" w:sz="4" w:space="0"/>
          <w:insideV w:val="single" w:color="00AF5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7214"/>
      </w:tblGrid>
      <w:tr>
        <w:tblPrEx>
          <w:tblBorders>
            <w:top w:val="single" w:color="00AF50" w:sz="4" w:space="0"/>
            <w:left w:val="single" w:color="00AF50" w:sz="4" w:space="0"/>
            <w:bottom w:val="single" w:color="00AF50" w:sz="4" w:space="0"/>
            <w:right w:val="single" w:color="00AF50" w:sz="4" w:space="0"/>
            <w:insideH w:val="single" w:color="00AF50" w:sz="4" w:space="0"/>
            <w:insideV w:val="single" w:color="00AF5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157" w:type="dxa"/>
          </w:tcPr>
          <w:p>
            <w:pPr>
              <w:pStyle w:val="4"/>
              <w:spacing w:line="340" w:lineRule="exact"/>
              <w:ind w:left="107"/>
              <w:rPr>
                <w:rFonts w:hint="eastAsia" w:ascii="Microsoft JhengHei" w:eastAsia="Microsoft JhengHei"/>
                <w:b/>
                <w:sz w:val="22"/>
              </w:rPr>
            </w:pPr>
            <w:r>
              <w:rPr>
                <w:rFonts w:hint="eastAsia" w:ascii="Microsoft JhengHei" w:eastAsia="Microsoft JhengHei"/>
                <w:b/>
                <w:sz w:val="22"/>
              </w:rPr>
              <w:t>题号</w:t>
            </w:r>
          </w:p>
        </w:tc>
        <w:tc>
          <w:tcPr>
            <w:tcW w:w="7214" w:type="dxa"/>
          </w:tcPr>
          <w:p>
            <w:pPr>
              <w:pStyle w:val="4"/>
              <w:spacing w:line="340" w:lineRule="exact"/>
              <w:ind w:left="107"/>
              <w:rPr>
                <w:rFonts w:hint="eastAsia" w:ascii="Microsoft JhengHei" w:eastAsia="Microsoft JhengHei"/>
                <w:b/>
                <w:sz w:val="24"/>
              </w:rPr>
            </w:pPr>
            <w:bookmarkStart w:id="0" w:name="_GoBack"/>
            <w:r>
              <w:rPr>
                <w:rFonts w:hint="eastAsia" w:ascii="Microsoft JhengHei" w:eastAsia="Microsoft JhengHei"/>
                <w:b/>
                <w:sz w:val="24"/>
              </w:rPr>
              <w:t>中西医助理医师 实践技能 第三站</w:t>
            </w:r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2" w:hRule="atLeast"/>
        </w:trPr>
        <w:tc>
          <w:tcPr>
            <w:tcW w:w="1157" w:type="dxa"/>
            <w:tcBorders>
              <w:left w:val="single" w:color="00AF50" w:sz="4" w:space="0"/>
              <w:bottom w:val="single" w:color="00AF50" w:sz="4" w:space="0"/>
              <w:right w:val="single" w:color="00AF50" w:sz="4" w:space="0"/>
            </w:tcBorders>
          </w:tcPr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rPr>
                <w:rFonts w:ascii="Times New Roman"/>
                <w:sz w:val="22"/>
              </w:rPr>
            </w:pPr>
          </w:p>
          <w:p>
            <w:pPr>
              <w:pStyle w:val="4"/>
              <w:spacing w:before="142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7214" w:type="dxa"/>
            <w:tcBorders>
              <w:top w:val="single" w:color="000000" w:sz="12" w:space="0"/>
              <w:left w:val="single" w:color="00AF50" w:sz="4" w:space="0"/>
              <w:bottom w:val="single" w:color="00AF50" w:sz="4" w:space="0"/>
              <w:right w:val="single" w:color="00AF50" w:sz="4" w:space="0"/>
            </w:tcBorders>
          </w:tcPr>
          <w:p>
            <w:pPr>
              <w:pStyle w:val="4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题号未知：</w:t>
            </w: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30"/>
              </w:tabs>
              <w:spacing w:before="31" w:after="0" w:line="240" w:lineRule="auto"/>
              <w:ind w:left="329" w:right="0" w:hanging="223"/>
              <w:jc w:val="left"/>
              <w:rPr>
                <w:sz w:val="22"/>
              </w:rPr>
            </w:pPr>
            <w:r>
              <w:rPr>
                <w:sz w:val="22"/>
              </w:rPr>
              <w:t>女，7</w:t>
            </w:r>
            <w:r>
              <w:rPr>
                <w:spacing w:val="-13"/>
                <w:sz w:val="22"/>
              </w:rPr>
              <w:t xml:space="preserve"> 岁，腹痛，镇邪，发热 </w:t>
            </w:r>
            <w:r>
              <w:rPr>
                <w:sz w:val="22"/>
              </w:rPr>
              <w:t>1</w:t>
            </w:r>
            <w:r>
              <w:rPr>
                <w:spacing w:val="-13"/>
                <w:sz w:val="22"/>
              </w:rPr>
              <w:t xml:space="preserve"> 天入院。</w:t>
            </w:r>
          </w:p>
          <w:p>
            <w:pPr>
              <w:pStyle w:val="4"/>
              <w:spacing w:before="8"/>
              <w:rPr>
                <w:rFonts w:ascii="Times New Roman"/>
                <w:sz w:val="29"/>
              </w:rPr>
            </w:pP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30"/>
              </w:tabs>
              <w:spacing w:before="0" w:after="0" w:line="240" w:lineRule="auto"/>
              <w:ind w:left="329" w:right="0" w:hanging="223"/>
              <w:jc w:val="left"/>
              <w:rPr>
                <w:sz w:val="22"/>
              </w:rPr>
            </w:pPr>
            <w:r>
              <w:rPr>
                <w:sz w:val="22"/>
              </w:rPr>
              <w:t>男，73</w:t>
            </w:r>
            <w:r>
              <w:rPr>
                <w:spacing w:val="-11"/>
                <w:sz w:val="22"/>
              </w:rPr>
              <w:t xml:space="preserve"> 岁，少尿，无尿入院，有慢性肾小球肾炎 </w:t>
            </w:r>
            <w:r>
              <w:rPr>
                <w:sz w:val="22"/>
              </w:rPr>
              <w:t>3</w:t>
            </w:r>
            <w:r>
              <w:rPr>
                <w:spacing w:val="-19"/>
                <w:sz w:val="22"/>
              </w:rPr>
              <w:t xml:space="preserve"> 年。</w:t>
            </w:r>
          </w:p>
          <w:p>
            <w:pPr>
              <w:pStyle w:val="4"/>
              <w:spacing w:before="9"/>
              <w:rPr>
                <w:rFonts w:ascii="Times New Roman"/>
                <w:sz w:val="29"/>
              </w:rPr>
            </w:pP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30"/>
              </w:tabs>
              <w:spacing w:before="0" w:after="0" w:line="240" w:lineRule="auto"/>
              <w:ind w:left="329" w:right="0" w:hanging="223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胆囊结石临床表现和体征。</w:t>
            </w:r>
          </w:p>
          <w:p>
            <w:pPr>
              <w:pStyle w:val="4"/>
              <w:rPr>
                <w:rFonts w:ascii="Times New Roman"/>
                <w:sz w:val="32"/>
              </w:rPr>
            </w:pP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30"/>
              </w:tabs>
              <w:spacing w:before="1" w:after="0" w:line="211" w:lineRule="auto"/>
              <w:ind w:left="107" w:right="4453" w:firstLine="0"/>
              <w:jc w:val="left"/>
              <w:rPr>
                <w:rFonts w:hint="eastAsia" w:ascii="Microsoft JhengHei" w:eastAsia="Microsoft JhengHei"/>
                <w:b/>
                <w:sz w:val="22"/>
              </w:rPr>
            </w:pPr>
            <w:r>
              <w:rPr>
                <w:spacing w:val="-5"/>
                <w:sz w:val="22"/>
              </w:rPr>
              <w:t>断针平皮肤的处理方法。</w:t>
            </w:r>
            <w:r>
              <w:rPr>
                <w:rFonts w:hint="eastAsia" w:ascii="Microsoft JhengHei" w:eastAsia="Microsoft JhengHei"/>
                <w:b/>
                <w:color w:val="FF0000"/>
                <w:sz w:val="22"/>
              </w:rPr>
              <w:t>解析：</w:t>
            </w:r>
          </w:p>
          <w:p>
            <w:pPr>
              <w:pStyle w:val="4"/>
              <w:spacing w:line="266" w:lineRule="auto"/>
              <w:ind w:left="107" w:right="3625"/>
              <w:rPr>
                <w:sz w:val="22"/>
              </w:rPr>
            </w:pPr>
            <w:r>
              <w:rPr>
                <w:sz w:val="22"/>
              </w:rPr>
              <w:t>1、2</w:t>
            </w:r>
            <w:r>
              <w:rPr>
                <w:spacing w:val="-12"/>
                <w:sz w:val="22"/>
              </w:rPr>
              <w:t xml:space="preserve"> 题问诊</w:t>
            </w:r>
            <w:r>
              <w:rPr>
                <w:spacing w:val="-4"/>
                <w:sz w:val="21"/>
              </w:rPr>
              <w:t>顺序具体参见如下格式。</w:t>
            </w:r>
            <w:r>
              <w:rPr>
                <w:sz w:val="22"/>
              </w:rPr>
              <w:t>现病史</w:t>
            </w:r>
          </w:p>
          <w:p>
            <w:pPr>
              <w:pStyle w:val="4"/>
              <w:numPr>
                <w:ilvl w:val="1"/>
                <w:numId w:val="1"/>
              </w:numPr>
              <w:tabs>
                <w:tab w:val="left" w:pos="771"/>
              </w:tabs>
              <w:spacing w:before="0" w:after="0" w:line="266" w:lineRule="auto"/>
              <w:ind w:left="107" w:right="53" w:firstLine="441"/>
              <w:jc w:val="both"/>
              <w:rPr>
                <w:sz w:val="22"/>
              </w:rPr>
            </w:pPr>
            <w:r>
              <w:rPr>
                <w:spacing w:val="-7"/>
                <w:sz w:val="22"/>
              </w:rPr>
              <w:t>主要症状的特点：根据主诉及相关鉴别问诊病因、诱因。</w:t>
            </w:r>
            <w:r>
              <w:rPr>
                <w:sz w:val="22"/>
              </w:rPr>
              <w:t>（</w:t>
            </w:r>
            <w:r>
              <w:rPr>
                <w:spacing w:val="-2"/>
                <w:sz w:val="22"/>
              </w:rPr>
              <w:t>主要症</w:t>
            </w:r>
            <w:r>
              <w:rPr>
                <w:spacing w:val="-4"/>
                <w:sz w:val="22"/>
              </w:rPr>
              <w:t>状特点：诱因、病程、部位、性质、程度、持续时间、加重和缓解方式、</w:t>
            </w:r>
            <w:r>
              <w:rPr>
                <w:spacing w:val="-1"/>
                <w:sz w:val="22"/>
              </w:rPr>
              <w:t>发作频率。</w:t>
            </w:r>
            <w:r>
              <w:rPr>
                <w:sz w:val="22"/>
              </w:rPr>
              <w:t>）</w:t>
            </w:r>
          </w:p>
          <w:p>
            <w:pPr>
              <w:pStyle w:val="4"/>
              <w:numPr>
                <w:ilvl w:val="1"/>
                <w:numId w:val="1"/>
              </w:numPr>
              <w:tabs>
                <w:tab w:val="left" w:pos="771"/>
              </w:tabs>
              <w:spacing w:before="0" w:after="0" w:line="280" w:lineRule="exact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伴随症状。能够引起该症状的疾病的临床表现，即鉴别诊断要点。</w:t>
            </w:r>
          </w:p>
          <w:p>
            <w:pPr>
              <w:pStyle w:val="4"/>
              <w:numPr>
                <w:ilvl w:val="1"/>
                <w:numId w:val="1"/>
              </w:numPr>
              <w:tabs>
                <w:tab w:val="left" w:pos="771"/>
              </w:tabs>
              <w:spacing w:before="22" w:after="0" w:line="240" w:lineRule="auto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诊疗经过：是否到医院就诊，诊疗经过，效果。</w:t>
            </w:r>
          </w:p>
          <w:p>
            <w:pPr>
              <w:pStyle w:val="4"/>
              <w:numPr>
                <w:ilvl w:val="1"/>
                <w:numId w:val="1"/>
              </w:numPr>
              <w:tabs>
                <w:tab w:val="left" w:pos="771"/>
              </w:tabs>
              <w:spacing w:before="30" w:after="0" w:line="266" w:lineRule="auto"/>
              <w:ind w:left="549" w:right="933" w:firstLine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 xml:space="preserve">全身状态：饮食、睡眠、大小便、精神状况、体重变化， </w:t>
            </w:r>
            <w:r>
              <w:rPr>
                <w:spacing w:val="-2"/>
                <w:sz w:val="22"/>
              </w:rPr>
              <w:t>相关病史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71"/>
              </w:tabs>
              <w:spacing w:before="0" w:after="0" w:line="280" w:lineRule="exact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既往病史、其他有关病史。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71"/>
              </w:tabs>
              <w:spacing w:before="30" w:after="0" w:line="240" w:lineRule="auto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传染病接触史、药物过敏史、手术史。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71"/>
              </w:tabs>
              <w:spacing w:before="30" w:after="0" w:line="240" w:lineRule="auto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烟酒嗜好等。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71"/>
              </w:tabs>
              <w:spacing w:before="30" w:after="0" w:line="240" w:lineRule="auto"/>
              <w:ind w:left="770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家族史。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71"/>
              </w:tabs>
              <w:spacing w:before="30" w:after="0" w:line="240" w:lineRule="auto"/>
              <w:ind w:left="770" w:right="0" w:hanging="22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如为女性，经带胎产也要询问。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764"/>
              </w:tabs>
              <w:spacing w:before="30" w:after="0" w:line="240" w:lineRule="auto"/>
              <w:ind w:left="763" w:right="0" w:hanging="223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根据具体疾病询问相关病史。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330"/>
              </w:tabs>
              <w:spacing w:before="31" w:after="0" w:line="266" w:lineRule="auto"/>
              <w:ind w:left="107" w:right="93" w:firstLine="0"/>
              <w:jc w:val="both"/>
              <w:rPr>
                <w:sz w:val="22"/>
              </w:rPr>
            </w:pPr>
            <w:r>
              <w:rPr>
                <w:spacing w:val="-6"/>
                <w:sz w:val="22"/>
              </w:rPr>
              <w:t>胆囊结石分为静止性结石和有症状结石，前者主要在体格检查、手术或</w:t>
            </w:r>
            <w:r>
              <w:rPr>
                <w:spacing w:val="-8"/>
                <w:sz w:val="22"/>
              </w:rPr>
              <w:t>尸体解剖时偶然发现。后者只有少数人出现，常表现为急性或慢性胆囊炎</w:t>
            </w:r>
            <w:r>
              <w:rPr>
                <w:spacing w:val="-9"/>
                <w:sz w:val="22"/>
              </w:rPr>
              <w:t>的临床表现，主要表现为胆绞痛。常见诱因为高脂肪饮食、暴饮暴食、过</w:t>
            </w:r>
            <w:r>
              <w:rPr>
                <w:spacing w:val="-10"/>
                <w:sz w:val="22"/>
              </w:rPr>
              <w:t xml:space="preserve">度疲劳等，伴有恶心、呕吐等消化系统症状。另外，有一部分病人只有上腹部钝痛。体格检查时有上腹部压痛及 </w:t>
            </w:r>
            <w:r>
              <w:rPr>
                <w:sz w:val="22"/>
              </w:rPr>
              <w:t>Murphy</w:t>
            </w:r>
            <w:r>
              <w:rPr>
                <w:spacing w:val="-12"/>
                <w:sz w:val="22"/>
              </w:rPr>
              <w:t xml:space="preserve"> 征阳性。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330"/>
              </w:tabs>
              <w:spacing w:before="0" w:after="0" w:line="277" w:lineRule="exact"/>
              <w:ind w:left="329" w:right="0" w:hanging="223"/>
              <w:jc w:val="left"/>
              <w:rPr>
                <w:sz w:val="22"/>
              </w:rPr>
            </w:pPr>
            <w:r>
              <w:rPr>
                <w:spacing w:val="-6"/>
                <w:sz w:val="22"/>
              </w:rPr>
              <w:t>断针：若残端与皮肤面相平或稍低，尚可见到残端时，可用手向下挤压</w:t>
            </w:r>
          </w:p>
          <w:p>
            <w:pPr>
              <w:pStyle w:val="4"/>
              <w:spacing w:before="30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针孔两旁皮肤，使残端露出体外，再用镊子取出。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3F3350"/>
    <w:multiLevelType w:val="multilevel"/>
    <w:tmpl w:val="B53F3350"/>
    <w:lvl w:ilvl="0" w:tentative="0">
      <w:start w:val="3"/>
      <w:numFmt w:val="decimal"/>
      <w:lvlText w:val="%1."/>
      <w:lvlJc w:val="left"/>
      <w:pPr>
        <w:ind w:left="107" w:hanging="222"/>
        <w:jc w:val="left"/>
      </w:pPr>
      <w:rPr>
        <w:rFonts w:hint="default" w:ascii="宋体" w:hAnsi="宋体" w:eastAsia="宋体" w:cs="宋体"/>
        <w:spacing w:val="-55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10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20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31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941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52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36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72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83" w:hanging="222"/>
      </w:pPr>
      <w:rPr>
        <w:rFonts w:hint="default"/>
        <w:lang w:val="zh-CN" w:eastAsia="zh-CN" w:bidi="zh-CN"/>
      </w:rPr>
    </w:lvl>
  </w:abstractNum>
  <w:abstractNum w:abstractNumId="1">
    <w:nsid w:val="F0E89278"/>
    <w:multiLevelType w:val="multilevel"/>
    <w:tmpl w:val="F0E89278"/>
    <w:lvl w:ilvl="0" w:tentative="0">
      <w:start w:val="1"/>
      <w:numFmt w:val="decimal"/>
      <w:lvlText w:val="%1."/>
      <w:lvlJc w:val="left"/>
      <w:pPr>
        <w:ind w:left="329" w:hanging="222"/>
        <w:jc w:val="left"/>
      </w:pPr>
      <w:rPr>
        <w:rFonts w:hint="default" w:ascii="宋体" w:hAnsi="宋体" w:eastAsia="宋体" w:cs="宋体"/>
        <w:spacing w:val="-57"/>
        <w:w w:val="100"/>
        <w:sz w:val="20"/>
        <w:szCs w:val="20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107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08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49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14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79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44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09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74" w:hanging="222"/>
      </w:pPr>
      <w:rPr>
        <w:rFonts w:hint="default"/>
        <w:lang w:val="zh-CN" w:eastAsia="zh-CN" w:bidi="zh-CN"/>
      </w:rPr>
    </w:lvl>
  </w:abstractNum>
  <w:abstractNum w:abstractNumId="2">
    <w:nsid w:val="23E97754"/>
    <w:multiLevelType w:val="multilevel"/>
    <w:tmpl w:val="23E97754"/>
    <w:lvl w:ilvl="0" w:tentative="0">
      <w:start w:val="1"/>
      <w:numFmt w:val="decimal"/>
      <w:lvlText w:val="%1."/>
      <w:lvlJc w:val="left"/>
      <w:pPr>
        <w:ind w:left="770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2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6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07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49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92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34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76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919" w:hanging="22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63D80"/>
    <w:rsid w:val="2116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2019-03-22T08:04:00Z</dcterms:created>
  <dc:creator>ibm</dc:creator>
  <cp:lastModifiedBy>ibm</cp:lastModifiedBy>
  <dcterms:modified xsi:type="dcterms:W3CDTF">2019-03-22T08:04:55Z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