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</w:pPr>
      <w:r>
        <w:t>窗体顶端</w:t>
      </w:r>
    </w:p>
    <w:tbl>
      <w:tblPr>
        <w:tblW w:w="8966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1"/>
        <w:gridCol w:w="826"/>
        <w:gridCol w:w="2133"/>
        <w:gridCol w:w="1712"/>
        <w:gridCol w:w="1637"/>
        <w:gridCol w:w="1547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6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lang w:val="en-US" w:eastAsia="zh-CN" w:bidi="ar"/>
              </w:rPr>
              <w:t>南昌大学一附院引进博士学位研究生待遇</w:t>
            </w:r>
            <w:r>
              <w:rPr>
                <w:rFonts w:hint="eastAsia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bookmarkEnd w:id="0"/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7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发放项目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发放金额（元）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4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7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购房补贴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科研启动金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4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专业及学位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国内一般专业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8万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8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国内紧缺专业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检验科、超声诊断科、影像科、核医学、病理科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10万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根据每年计划调整。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29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国（境）外学位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加5万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5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职称资格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副高资格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加5万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5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原单位为三级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甲等医院且已受聘副高满 1年者，可直接内聘副高岗位。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博士后经历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国（境）外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加10万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5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29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国内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加5万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5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课题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项目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国家自然基金面上项目（含青年科学基金项目）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加10万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在研项目（按实际到账）按1：1配套。非在研加5万。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课题均主持。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SCI论文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2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IF值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3≥IF≥1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加2万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加1万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4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发表文章均第一作者或共同第一作者或通讯作者。IF值为单篇值，不累计。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8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2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5≥IF﹥3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加5万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加2万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4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8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2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10≥IF﹥5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加7万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加3万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4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8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2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20≥IF﹥10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加15万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加10万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4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8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2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IF﹥20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加20万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加15万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4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博士学位津贴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600元/月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按医院规定。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pStyle w:val="14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B7277"/>
    <w:rsid w:val="0F6B7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  <w:bdr w:val="none" w:color="auto" w:sz="0" w:space="0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000000"/>
      <w:u w:val="none"/>
      <w:bdr w:val="none" w:color="auto" w:sz="0" w:space="0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paragraph" w:styleId="13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4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2019-03-23T03:04:00Z</dcterms:created>
  <dc:creator>石果</dc:creator>
  <cp:lastModifiedBy>石果</cp:lastModifiedBy>
  <dcterms:modified xsi:type="dcterms:W3CDTF">2019-03-23T03:04:30Z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