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  <w:t>招聘岗位及条件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</w:p>
    <w:tbl>
      <w:tblPr>
        <w:tblW w:w="9960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1498"/>
        <w:gridCol w:w="659"/>
        <w:gridCol w:w="1168"/>
        <w:gridCol w:w="2352"/>
        <w:gridCol w:w="2590"/>
        <w:gridCol w:w="1064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招聘工作人员条件简介表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拟聘工作岗位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61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  <w:tc>
          <w:tcPr>
            <w:tcW w:w="10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笔试科目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6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10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妇科、产科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妇产科学、临床医学、肿瘤学（妇科方向）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普儿科、新生儿科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儿科学、临床医学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小儿外科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外科学（小儿外科方向）、临床医学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小儿骨科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外科学（骨科方向、小儿骨科方向）、临床医学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生育技术科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生殖医学（医）、妇产科学、临床医学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儿童保健科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儿科学（儿童保健方向）、儿科学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儿童康复科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康复医学与理疗学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心理卫生科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精神病与心理卫生学、医学心理学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皮肤科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皮肤病与性病学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临床护理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护理学、护理、临床护理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医学遗传中心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临床检验诊断学、免疫学、遗传学（医学类）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应届毕业生，取得相应学位，取得大学英语四级及以上考试证书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放射科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影像医学与核医学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儿童耳鼻咽喉保健科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耳鼻咽喉科学、临床医学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放射科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医学影像学、医学影像与核医学（介入方向）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临床护理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护理学（助产方向）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应届毕业生，取得相应学位，取得大学英语四级及以上考试证书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麻醉护理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护理学（麻醉护理方向）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心理卫生科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临床医学、医学心理学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取得相应学位，取得大学英语四级及以上考试证书，取得相应的医师规范化培训证书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病案室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临床医学、卫生信息管理、医学信息、信息管理与信息系统、卫生事业管理（病案管理方向）、公共卫生事业管理（卫生信息管理）</w:t>
            </w:r>
          </w:p>
        </w:tc>
        <w:tc>
          <w:tcPr>
            <w:tcW w:w="2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取得相应学位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kern w:val="0"/>
                <w:sz w:val="24"/>
                <w:szCs w:val="24"/>
                <w:lang w:val="en-US" w:eastAsia="zh-CN" w:bidi="ar"/>
              </w:rPr>
              <w:t>病案技术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21261"/>
    <w:rsid w:val="19721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2019-03-19T09:53:00Z</dcterms:created>
  <dc:creator>Yan</dc:creator>
  <cp:lastModifiedBy>Yan</cp:lastModifiedBy>
  <dcterms:modified xsi:type="dcterms:W3CDTF">2019-03-19T09:53:21Z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