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Style w:val="2"/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756"/>
        <w:gridCol w:w="1064"/>
        <w:gridCol w:w="1256"/>
        <w:gridCol w:w="1554"/>
        <w:gridCol w:w="266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7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653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岗位条件和要求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010001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护理专业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30周岁及以下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010002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护理专业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25周岁及以下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本部、滨湖院区随机分配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010003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护理专业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23周岁及以下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18"/>
                <w:szCs w:val="18"/>
                <w:lang w:val="en-US" w:eastAsia="zh-CN" w:bidi="ar"/>
              </w:rPr>
              <w:t>按最终成绩排名分别进入滨湖院区老年科、西区、庐阳分院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888888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20979"/>
    <w:rsid w:val="219001EE"/>
    <w:rsid w:val="7022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2019-03-08T10:50:00Z</dcterms:created>
  <dc:creator>Yan</dc:creator>
  <cp:lastModifiedBy>dell</cp:lastModifiedBy>
  <dcterms:modified xsi:type="dcterms:W3CDTF">2019-03-10T01:24:11Z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