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52" w:type="dxa"/>
        <w:jc w:val="center"/>
        <w:tblInd w:w="1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1897"/>
        <w:gridCol w:w="1362"/>
        <w:gridCol w:w="40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3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0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8" w:hRule="atLeast"/>
          <w:jc w:val="center"/>
        </w:trPr>
        <w:tc>
          <w:tcPr>
            <w:tcW w:w="7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内科医生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1、具有良好的职业素养，身体健康；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2、年龄35周岁以下；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3、临床医学本科及以上学历、学位；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4、须取得医师资格证，完成住院医规范化培训者优先；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5、用工性质为杭州江南人才公司派遣。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422C4"/>
    <w:rsid w:val="136422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2019-02-18T07:26:00Z</dcterms:created>
  <dc:creator>天空</dc:creator>
  <cp:lastModifiedBy>天空</cp:lastModifiedBy>
  <dcterms:modified xsi:type="dcterms:W3CDTF">2019-02-18T07:27:14Z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