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</w:p>
    <w:p>
      <w:pPr>
        <w:ind w:firstLine="643" w:firstLineChars="2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中海康城社区卫生服务站招聘工作人员岗位一览表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bookmarkStart w:id="0" w:name="_GoBack"/>
      <w:bookmarkEnd w:id="0"/>
    </w:p>
    <w:tbl>
      <w:tblPr>
        <w:tblStyle w:val="5"/>
        <w:tblpPr w:leftFromText="180" w:rightFromText="180" w:vertAnchor="page" w:horzAnchor="page" w:tblpXSpec="center" w:tblpY="2930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1379"/>
        <w:gridCol w:w="43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岗位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所需人员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5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全科医师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1、大学专科及以上学历，内科或儿科专业方向优先；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2、具有医师资格证书及执业证书，可变更执业地点；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3、取得全科医师证者优先考虑。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护理人员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numPr>
                <w:ilvl w:val="0"/>
                <w:numId w:val="1"/>
              </w:num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大学专科及以上学历；</w:t>
            </w:r>
          </w:p>
          <w:p>
            <w:pPr>
              <w:numPr>
                <w:ilvl w:val="0"/>
                <w:numId w:val="1"/>
              </w:num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具有护理执业资格，考取社区全科护士证及计免上岗证者优先；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医学检验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1、大专以上学历，检验技师以上资格；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2、熟悉临床检验、生化检验、微生物和免疫检验工作；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3、具有二级或以上医院工作经验者优先考虑。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药剂师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1、大学专科及以上学历，药剂专业；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2、具有药师资格；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3、开展药房相关工作；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4、工作认真负责，手脚利索，性格温和，身体健康，男女不限；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公卫医师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1、预防医学相关专业；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2、具备公卫执业医师资格证，能独立执业；</w:t>
            </w:r>
          </w:p>
          <w:p>
            <w:pPr>
              <w:jc w:val="both"/>
              <w:rPr>
                <w:sz w:val="24"/>
              </w:rPr>
            </w:pPr>
            <w:r>
              <w:rPr>
                <w:rFonts w:hint="eastAsia"/>
                <w:sz w:val="24"/>
              </w:rPr>
              <w:t>3、具备慢性病管理经验者优先；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收费员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1、负责门诊每班次的日常收费工作。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2、协助主管完成其他日常事务性工作。</w:t>
            </w:r>
          </w:p>
          <w:p>
            <w:pPr>
              <w:jc w:val="both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3、懂得电脑的基本操作，有医院、门诊收费处工作经验者优先。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  <w:jc w:val="center"/>
        </w:trPr>
        <w:tc>
          <w:tcPr>
            <w:tcW w:w="2840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</w:t>
            </w:r>
          </w:p>
        </w:tc>
        <w:tc>
          <w:tcPr>
            <w:tcW w:w="1379" w:type="dxa"/>
            <w:shd w:val="clear" w:color="auto" w:fill="auto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11人</w:t>
            </w:r>
          </w:p>
        </w:tc>
        <w:tc>
          <w:tcPr>
            <w:tcW w:w="4303" w:type="dxa"/>
            <w:shd w:val="clear" w:color="auto" w:fill="auto"/>
            <w:vAlign w:val="center"/>
          </w:tcPr>
          <w:p>
            <w:pPr>
              <w:jc w:val="both"/>
              <w:rPr>
                <w:sz w:val="24"/>
              </w:rPr>
            </w:pPr>
          </w:p>
        </w:tc>
      </w:tr>
    </w:tbl>
    <w:p/>
    <w:sectPr>
      <w:headerReference r:id="rId4" w:type="first"/>
      <w:footerReference r:id="rId6" w:type="first"/>
      <w:headerReference r:id="rId3" w:type="even"/>
      <w:footerReference r:id="rId5" w:type="even"/>
      <w:footnotePr>
        <w:numFmt w:val="decimal"/>
      </w:footnote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28B197"/>
    <w:multiLevelType w:val="singleLevel"/>
    <w:tmpl w:val="5B28B19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40090B"/>
    <w:rsid w:val="178B0954"/>
    <w:rsid w:val="73C5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2018-11-02T08:03:58Z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