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65" w:type="dxa"/>
        <w:jc w:val="center"/>
        <w:tblInd w:w="-5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885"/>
        <w:gridCol w:w="525"/>
        <w:gridCol w:w="615"/>
        <w:gridCol w:w="2025"/>
        <w:gridCol w:w="1065"/>
        <w:gridCol w:w="2160"/>
        <w:gridCol w:w="1080"/>
        <w:gridCol w:w="1470"/>
        <w:gridCol w:w="1560"/>
        <w:gridCol w:w="151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4565" w:type="dxa"/>
            <w:gridSpan w:val="1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2" w:leftChars="-200" w:hanging="418" w:hangingChars="104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附表：201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上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半年医师执业注册考试考生信息登记表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565" w:type="dxa"/>
            <w:gridSpan w:val="1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县（市）区卫计局（盖章）：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行政区划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执业机构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执业级别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拟执业范围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申请考核事项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65" w:type="dxa"/>
            <w:gridSpan w:val="1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注：“拟执业范围”是指申请变更的执业专业。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8330C"/>
    <w:rsid w:val="4778330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2018-09-06T08:45:00Z</dcterms:created>
  <dc:creator>马天辉</dc:creator>
  <cp:lastModifiedBy>马天辉</cp:lastModifiedBy>
  <dcterms:modified xsi:type="dcterms:W3CDTF">2018-09-06T08:45:49Z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