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1"/>
        <w:rPr>
          <w:rFonts w:hint="eastAsia" w:asciiTheme="minorEastAsia" w:hAnsiTheme="minorEastAsia" w:eastAsiaTheme="minorEastAsia" w:cstheme="minorEastAsia"/>
          <w:b/>
          <w:bCs/>
          <w:color w:val="000000"/>
          <w:kern w:val="0"/>
          <w:sz w:val="21"/>
          <w:szCs w:val="21"/>
          <w:lang w:bidi="ar-SA"/>
        </w:rPr>
      </w:pPr>
      <w:r>
        <w:rPr>
          <w:rFonts w:hint="eastAsia" w:asciiTheme="minorEastAsia" w:hAnsiTheme="minorEastAsia" w:eastAsiaTheme="minorEastAsia" w:cstheme="minorEastAsia"/>
          <w:b/>
          <w:bCs/>
          <w:color w:val="000000"/>
          <w:kern w:val="0"/>
          <w:sz w:val="21"/>
          <w:szCs w:val="21"/>
          <w:lang w:bidi="ar-SA"/>
        </w:rPr>
        <w:t>医学教育网执业中药师：《答疑周刊》201</w:t>
      </w:r>
      <w:r>
        <w:rPr>
          <w:rFonts w:hint="eastAsia" w:asciiTheme="minorEastAsia" w:hAnsiTheme="minorEastAsia" w:eastAsiaTheme="minorEastAsia" w:cstheme="minorEastAsia"/>
          <w:b/>
          <w:bCs/>
          <w:color w:val="000000"/>
          <w:kern w:val="0"/>
          <w:sz w:val="21"/>
          <w:szCs w:val="21"/>
          <w:lang w:val="en-US" w:eastAsia="zh-CN" w:bidi="ar-SA"/>
        </w:rPr>
        <w:t>8</w:t>
      </w:r>
      <w:r>
        <w:rPr>
          <w:rFonts w:hint="eastAsia" w:asciiTheme="minorEastAsia" w:hAnsiTheme="minorEastAsia" w:eastAsiaTheme="minorEastAsia" w:cstheme="minorEastAsia"/>
          <w:b/>
          <w:bCs/>
          <w:color w:val="000000"/>
          <w:kern w:val="0"/>
          <w:sz w:val="21"/>
          <w:szCs w:val="21"/>
          <w:lang w:bidi="ar-SA"/>
        </w:rPr>
        <w:t>年第</w:t>
      </w:r>
      <w:r>
        <w:rPr>
          <w:rFonts w:hint="eastAsia" w:asciiTheme="minorEastAsia" w:hAnsiTheme="minorEastAsia" w:eastAsiaTheme="minorEastAsia" w:cstheme="minorEastAsia"/>
          <w:b/>
          <w:bCs/>
          <w:color w:val="000000"/>
          <w:kern w:val="0"/>
          <w:sz w:val="21"/>
          <w:szCs w:val="21"/>
          <w:lang w:val="en-US" w:eastAsia="zh-CN" w:bidi="ar-SA"/>
        </w:rPr>
        <w:t>25</w:t>
      </w:r>
      <w:r>
        <w:rPr>
          <w:rFonts w:hint="eastAsia" w:asciiTheme="minorEastAsia" w:hAnsiTheme="minorEastAsia" w:eastAsiaTheme="minorEastAsia" w:cstheme="minorEastAsia"/>
          <w:b/>
          <w:bCs/>
          <w:color w:val="000000"/>
          <w:kern w:val="0"/>
          <w:sz w:val="21"/>
          <w:szCs w:val="21"/>
          <w:lang w:bidi="ar-SA"/>
        </w:rPr>
        <w:t>期</w:t>
      </w:r>
    </w:p>
    <w:p>
      <w:pPr>
        <w:ind w:firstLine="422" w:firstLineChars="200"/>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问题索引：</w:t>
      </w:r>
    </w:p>
    <w:p>
      <w:pPr>
        <w:ind w:firstLine="422" w:firstLineChars="200"/>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1.【问题】历代本草代表作小结。</w:t>
      </w:r>
    </w:p>
    <w:p>
      <w:pPr>
        <w:ind w:firstLine="422" w:firstLineChars="200"/>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2.【问题】中药性能中五味所示的效用</w:t>
      </w:r>
      <w:r>
        <w:rPr>
          <w:rFonts w:hint="eastAsia" w:asciiTheme="minorEastAsia" w:hAnsiTheme="minorEastAsia" w:cstheme="minorEastAsia"/>
          <w:b/>
          <w:sz w:val="21"/>
          <w:szCs w:val="21"/>
          <w:lang w:eastAsia="zh-CN"/>
        </w:rPr>
        <w:t>。</w:t>
      </w:r>
    </w:p>
    <w:p>
      <w:pPr>
        <w:ind w:firstLine="422"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sz w:val="21"/>
          <w:szCs w:val="21"/>
        </w:rPr>
        <w:t>3.【问题】中药的七情配伍</w:t>
      </w:r>
      <w:r>
        <w:rPr>
          <w:rFonts w:hint="eastAsia" w:asciiTheme="minorEastAsia" w:hAnsiTheme="minorEastAsia" w:cstheme="minorEastAsia"/>
          <w:b/>
          <w:sz w:val="21"/>
          <w:szCs w:val="21"/>
          <w:lang w:eastAsia="zh-CN"/>
        </w:rPr>
        <w:t>。</w:t>
      </w:r>
      <w:bookmarkStart w:id="0" w:name="_GoBack"/>
      <w:bookmarkEnd w:id="0"/>
    </w:p>
    <w:p>
      <w:pPr>
        <w:ind w:firstLine="422" w:firstLineChars="200"/>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具体解答：</w:t>
      </w:r>
    </w:p>
    <w:p>
      <w:pPr>
        <w:ind w:firstLine="422" w:firstLineChars="200"/>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1.【问题】历代本草代表作小结。</w:t>
      </w:r>
    </w:p>
    <w:p>
      <w:pPr>
        <w:ind w:firstLine="422"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【解析】</w:t>
      </w:r>
      <w:r>
        <w:rPr>
          <w:rFonts w:hint="eastAsia" w:asciiTheme="minorEastAsia" w:hAnsiTheme="minorEastAsia" w:eastAsiaTheme="minorEastAsia" w:cstheme="minorEastAsia"/>
          <w:sz w:val="21"/>
          <w:szCs w:val="21"/>
        </w:rPr>
        <w:t>重点代表著作：</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神农本草经》简称《本经》，为汉代本草代表作。各论载药365种，以上、中、下三品分类，所记功用大多朴实有验。该书系统总结了汉代以前我国药学发展的成就，是现存最早的药学专著，为本草学的发展奠定了基础。</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草经集注》为魏晋南北朝本草代表作。作者为陶弘景，将所载730种药物分为玉石、草木、虫兽、果、菜、米食及有名未用7类。该书第一次全面系统地整理、补充了《本经》，反映了魏晋南北朝时期的本草学成就，初步确立了综合性本草著作的编写模式。</w:t>
      </w:r>
      <w:r>
        <w:rPr>
          <w:rFonts w:hint="eastAsia" w:asciiTheme="minorEastAsia" w:hAnsiTheme="minorEastAsia" w:eastAsiaTheme="minorEastAsia" w:cstheme="minorEastAsia"/>
          <w:color w:val="000000"/>
          <w:sz w:val="21"/>
          <w:szCs w:val="21"/>
        </w:rPr>
        <w:t>[医学教育网原创]</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《新修本草》又称《唐本草》，为隋唐时期唐代的本草代表作。是我国历史上第一部官修药典性本草，并被今人誉为世界上第一部药典。</w:t>
      </w:r>
      <w:r>
        <w:rPr>
          <w:rFonts w:hint="eastAsia" w:asciiTheme="minorEastAsia" w:hAnsiTheme="minorEastAsia" w:eastAsiaTheme="minorEastAsia" w:cstheme="minorEastAsia"/>
          <w:color w:val="000000"/>
          <w:sz w:val="21"/>
          <w:szCs w:val="21"/>
        </w:rPr>
        <w:t>[医学教育网原创]</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史证类备急本草》简称《证类本草》，为宋金元时期宋代的本草代表作。作者唐慎微，该书图文对照，方药并收，医药结合，资料翔实，集宋以前本草之大成，使大量古代文献得以保存，具有极高的学术价值和文献价值。</w:t>
      </w:r>
      <w:r>
        <w:rPr>
          <w:rFonts w:hint="eastAsia" w:asciiTheme="minorEastAsia" w:hAnsiTheme="minorEastAsia" w:eastAsiaTheme="minorEastAsia" w:cstheme="minorEastAsia"/>
          <w:color w:val="000000"/>
          <w:sz w:val="21"/>
          <w:szCs w:val="21"/>
        </w:rPr>
        <w:t>[医学教育网原创]</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《本草纲目》简称《纲目》，为明代本草代表作。各论按自然属性分列为16部共60类，成为当时最完备的分类系统。</w:t>
      </w:r>
      <w:r>
        <w:rPr>
          <w:rFonts w:hint="eastAsia" w:asciiTheme="minorEastAsia" w:hAnsiTheme="minorEastAsia" w:eastAsiaTheme="minorEastAsia" w:cstheme="minorEastAsia"/>
          <w:color w:val="000000"/>
          <w:sz w:val="21"/>
          <w:szCs w:val="21"/>
        </w:rPr>
        <w:t>[医学教育网原创]</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《本草纲目拾遗》简称《纲目拾遗》，为清代本草代表作。作者赵学敏在广泛收集民间用药和注意研究外来药的基础上撰成此书。</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《中华本草》为当代本草代表作。</w:t>
      </w:r>
    </w:p>
    <w:p>
      <w:pPr>
        <w:ind w:firstLine="422"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sz w:val="21"/>
          <w:szCs w:val="21"/>
        </w:rPr>
        <w:t>2.中药性能中五味所示的效用</w:t>
      </w:r>
      <w:r>
        <w:rPr>
          <w:rFonts w:hint="eastAsia" w:asciiTheme="minorEastAsia" w:hAnsiTheme="minorEastAsia" w:cstheme="minorEastAsia"/>
          <w:b/>
          <w:sz w:val="21"/>
          <w:szCs w:val="21"/>
          <w:lang w:eastAsia="zh-CN"/>
        </w:rPr>
        <w:t>。</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以下属于</w:t>
      </w:r>
      <w:r>
        <w:rPr>
          <w:rFonts w:hint="eastAsia" w:asciiTheme="minorEastAsia" w:hAnsiTheme="minorEastAsia" w:eastAsiaTheme="minorEastAsia" w:cstheme="minorEastAsia"/>
          <w:sz w:val="21"/>
          <w:szCs w:val="21"/>
          <w:lang w:eastAsia="zh-CN"/>
        </w:rPr>
        <w:t>酸</w:t>
      </w:r>
      <w:r>
        <w:rPr>
          <w:rFonts w:hint="eastAsia" w:asciiTheme="minorEastAsia" w:hAnsiTheme="minorEastAsia" w:eastAsiaTheme="minorEastAsia" w:cstheme="minorEastAsia"/>
          <w:sz w:val="21"/>
          <w:szCs w:val="21"/>
        </w:rPr>
        <w:t>味所示作用的是</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A.补虚</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B.和中</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C.调和药性</w:t>
      </w:r>
    </w:p>
    <w:p>
      <w:pPr>
        <w:ind w:firstLine="420"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D.</w:t>
      </w:r>
      <w:r>
        <w:rPr>
          <w:rFonts w:hint="eastAsia" w:asciiTheme="minorEastAsia" w:hAnsiTheme="minorEastAsia" w:eastAsiaTheme="minorEastAsia" w:cstheme="minorEastAsia"/>
          <w:sz w:val="21"/>
          <w:szCs w:val="21"/>
          <w:lang w:eastAsia="zh-CN"/>
        </w:rPr>
        <w:t>收敛固涩</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E.缓急</w:t>
      </w:r>
    </w:p>
    <w:p>
      <w:pPr>
        <w:ind w:firstLine="316" w:firstLineChars="150"/>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【答案】D</w:t>
      </w:r>
    </w:p>
    <w:p>
      <w:pPr>
        <w:ind w:firstLine="316" w:firstLineChars="150"/>
        <w:rPr>
          <w:rFonts w:hint="eastAsia" w:asciiTheme="minorEastAsia" w:hAnsiTheme="minorEastAsia" w:eastAsiaTheme="minorEastAsia" w:cstheme="minorEastAsia"/>
          <w:b/>
          <w:color w:val="000000"/>
          <w:sz w:val="21"/>
          <w:szCs w:val="21"/>
          <w:lang w:eastAsia="zh-CN"/>
        </w:rPr>
      </w:pPr>
      <w:r>
        <w:rPr>
          <w:rFonts w:hint="eastAsia" w:asciiTheme="minorEastAsia" w:hAnsiTheme="minorEastAsia" w:eastAsiaTheme="minorEastAsia" w:cstheme="minorEastAsia"/>
          <w:b/>
          <w:color w:val="000000"/>
          <w:sz w:val="21"/>
          <w:szCs w:val="21"/>
          <w:lang w:eastAsia="zh-CN"/>
        </w:rPr>
        <w:t>【解析】</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sz w:val="21"/>
          <w:szCs w:val="21"/>
        </w:rPr>
        <w:t>五味所示的效用：</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1.辛：能散、能行，有发散、行气、活血作用。</w:t>
      </w:r>
      <w:r>
        <w:rPr>
          <w:rFonts w:hint="eastAsia" w:asciiTheme="minorEastAsia" w:hAnsiTheme="minorEastAsia" w:eastAsiaTheme="minorEastAsia" w:cstheme="minorEastAsia"/>
          <w:color w:val="000000"/>
          <w:sz w:val="21"/>
          <w:szCs w:val="21"/>
        </w:rPr>
        <w:t>[医学教育网原创]</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2.甘：能补、能缓、能和，有补虚、和中、缓急、调和药性等作用。</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3.酸：能收、能涩，有收敛固涩作用。</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4.苦：能泄、能燥、能坚。</w:t>
      </w:r>
      <w:r>
        <w:rPr>
          <w:rFonts w:hint="eastAsia" w:asciiTheme="minorEastAsia" w:hAnsiTheme="minorEastAsia" w:eastAsiaTheme="minorEastAsia" w:cstheme="minorEastAsia"/>
          <w:color w:val="000000"/>
          <w:sz w:val="21"/>
          <w:szCs w:val="21"/>
        </w:rPr>
        <w:t>[医学教育网原创]</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5.咸：能软、能下，有软坚散结、泻下通便作用。</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6.涩：能收、能敛，同酸味一样有收敛固涩作用。</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7.淡：能渗、能利，有渗湿利水作用。</w:t>
      </w:r>
    </w:p>
    <w:p>
      <w:pPr>
        <w:ind w:firstLine="422"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color w:val="000000"/>
          <w:sz w:val="21"/>
          <w:szCs w:val="21"/>
        </w:rPr>
        <w:t>3.</w:t>
      </w:r>
      <w:r>
        <w:rPr>
          <w:rFonts w:hint="eastAsia" w:asciiTheme="minorEastAsia" w:hAnsiTheme="minorEastAsia" w:eastAsiaTheme="minorEastAsia" w:cstheme="minorEastAsia"/>
          <w:b/>
          <w:sz w:val="21"/>
          <w:szCs w:val="21"/>
        </w:rPr>
        <w:t>【问题】中药的七情配伍</w:t>
      </w:r>
      <w:r>
        <w:rPr>
          <w:rFonts w:hint="eastAsia" w:asciiTheme="minorEastAsia" w:hAnsiTheme="minorEastAsia" w:cstheme="minorEastAsia"/>
          <w:b/>
          <w:sz w:val="21"/>
          <w:szCs w:val="21"/>
          <w:lang w:eastAsia="zh-CN"/>
        </w:rPr>
        <w:t>。</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七情</w:t>
      </w:r>
      <w:r>
        <w:rPr>
          <w:rFonts w:hint="eastAsia" w:asciiTheme="minorEastAsia" w:hAnsiTheme="minorEastAsia" w:eastAsiaTheme="minorEastAsia" w:cstheme="minorEastAsia"/>
          <w:sz w:val="21"/>
          <w:szCs w:val="21"/>
          <w:lang w:eastAsia="zh-CN"/>
        </w:rPr>
        <w:t>中</w:t>
      </w:r>
      <w:r>
        <w:rPr>
          <w:rFonts w:hint="eastAsia" w:asciiTheme="minorEastAsia" w:hAnsiTheme="minorEastAsia" w:eastAsiaTheme="minorEastAsia" w:cstheme="minorEastAsia"/>
          <w:sz w:val="21"/>
          <w:szCs w:val="21"/>
        </w:rPr>
        <w:t>一种药物的毒烈之性，能被另一种药物减轻或消除的是</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A.相使</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B.相须</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C.相杀</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D.相畏</w:t>
      </w:r>
    </w:p>
    <w:p>
      <w:pPr>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E.相反</w:t>
      </w:r>
    </w:p>
    <w:p>
      <w:pPr>
        <w:ind w:firstLine="422" w:firstLineChars="200"/>
        <w:rPr>
          <w:rFonts w:hint="eastAsia" w:asciiTheme="minorEastAsia" w:hAnsiTheme="minorEastAsia" w:eastAsiaTheme="minorEastAsia" w:cstheme="minorEastAsia"/>
          <w:b/>
          <w:color w:val="000000"/>
          <w:sz w:val="21"/>
          <w:szCs w:val="21"/>
          <w:lang w:val="en-US" w:eastAsia="zh-CN"/>
        </w:rPr>
      </w:pPr>
      <w:r>
        <w:rPr>
          <w:rFonts w:hint="eastAsia" w:asciiTheme="minorEastAsia" w:hAnsiTheme="minorEastAsia" w:eastAsiaTheme="minorEastAsia" w:cstheme="minorEastAsia"/>
          <w:b/>
          <w:color w:val="000000"/>
          <w:sz w:val="21"/>
          <w:szCs w:val="21"/>
        </w:rPr>
        <w:t>【答案】</w:t>
      </w:r>
      <w:r>
        <w:rPr>
          <w:rFonts w:hint="eastAsia" w:asciiTheme="minorEastAsia" w:hAnsiTheme="minorEastAsia" w:eastAsiaTheme="minorEastAsia" w:cstheme="minorEastAsia"/>
          <w:b/>
          <w:color w:val="000000"/>
          <w:sz w:val="21"/>
          <w:szCs w:val="21"/>
          <w:lang w:val="en-US" w:eastAsia="zh-CN"/>
        </w:rPr>
        <w:t>D</w:t>
      </w:r>
    </w:p>
    <w:p>
      <w:pPr>
        <w:ind w:firstLine="422" w:firstLineChars="200"/>
        <w:rPr>
          <w:rFonts w:hint="eastAsia" w:asciiTheme="minorEastAsia" w:hAnsiTheme="minorEastAsia" w:eastAsiaTheme="minorEastAsia" w:cstheme="minorEastAsia"/>
          <w:b/>
          <w:color w:val="000000"/>
          <w:sz w:val="21"/>
          <w:szCs w:val="21"/>
          <w:lang w:val="en-US" w:eastAsia="zh-CN"/>
        </w:rPr>
      </w:pPr>
      <w:r>
        <w:rPr>
          <w:rFonts w:hint="eastAsia" w:asciiTheme="minorEastAsia" w:hAnsiTheme="minorEastAsia" w:eastAsiaTheme="minorEastAsia" w:cstheme="minorEastAsia"/>
          <w:b/>
          <w:color w:val="000000"/>
          <w:sz w:val="21"/>
          <w:szCs w:val="21"/>
          <w:lang w:val="en-US" w:eastAsia="zh-CN"/>
        </w:rPr>
        <w:t>【解析】</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所谓“七情配伍”，又称配伍七情、药物七情。</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包括：单行、相使、相畏、相须、相杀、相恶、相反</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（1）单行：即应用单味药就能发挥预期治疗效果，不需其他药辅助。如独参汤。</w:t>
      </w:r>
      <w:r>
        <w:rPr>
          <w:rFonts w:hint="eastAsia" w:asciiTheme="minorEastAsia" w:hAnsiTheme="minorEastAsia" w:eastAsiaTheme="minorEastAsia" w:cstheme="minorEastAsia"/>
          <w:color w:val="000000"/>
          <w:sz w:val="21"/>
          <w:szCs w:val="21"/>
        </w:rPr>
        <w:t>[医学教育网原创]</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（2）相须：即性能相类似的药物合用，可增强原有疗效。如石膏配知母。</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（3）相使：即性能功效有某种共性的两药同用，一药为主，一药为辅，辅药能增强主药的疗效。如黄芪配茯苓。</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（4）相畏：即一种药物的毒烈之性，能被另一种药物减轻或消除。半夏畏生姜。</w:t>
      </w:r>
      <w:r>
        <w:rPr>
          <w:rFonts w:hint="eastAsia" w:asciiTheme="minorEastAsia" w:hAnsiTheme="minorEastAsia" w:eastAsiaTheme="minorEastAsia" w:cstheme="minorEastAsia"/>
          <w:color w:val="000000"/>
          <w:sz w:val="21"/>
          <w:szCs w:val="21"/>
        </w:rPr>
        <w:t>[医学教育网原创]</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（5）相杀：即一种药物能减轻或消除另一种药物的毒烈之性。生姜杀半夏。</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（6）相恶：即两药合用，一种药物能使另一种药物原有功效降低，甚至丧失。如人参恶莱菔子。</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（7）相反：即两种药物合用，能产生或增强毒害反应。如乌头反半夏、甘草反甘遂等。</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七情中，单行既不增效或减毒，也不增毒或减效，临床可据情酌选；</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sz w:val="21"/>
          <w:szCs w:val="21"/>
        </w:rPr>
        <w:t>相须、相使表示增效</w:t>
      </w:r>
      <w:r>
        <w:rPr>
          <w:rFonts w:hint="eastAsia" w:asciiTheme="minorEastAsia" w:hAnsiTheme="minorEastAsia" w:eastAsiaTheme="minorEastAsia" w:cstheme="minorEastAsia"/>
          <w:sz w:val="21"/>
          <w:szCs w:val="21"/>
        </w:rPr>
        <w:t>，临床用药要充分利用；</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sz w:val="21"/>
          <w:szCs w:val="21"/>
        </w:rPr>
        <w:t>相畏、相杀表示减毒</w:t>
      </w:r>
      <w:r>
        <w:rPr>
          <w:rFonts w:hint="eastAsia" w:asciiTheme="minorEastAsia" w:hAnsiTheme="minorEastAsia" w:eastAsiaTheme="minorEastAsia" w:cstheme="minorEastAsia"/>
          <w:sz w:val="21"/>
          <w:szCs w:val="21"/>
        </w:rPr>
        <w:t>，应用毒烈药时需考虑选用；</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sz w:val="21"/>
          <w:szCs w:val="21"/>
        </w:rPr>
        <w:t>相恶表示减效</w:t>
      </w:r>
      <w:r>
        <w:rPr>
          <w:rFonts w:hint="eastAsia" w:asciiTheme="minorEastAsia" w:hAnsiTheme="minorEastAsia" w:eastAsiaTheme="minorEastAsia" w:cstheme="minorEastAsia"/>
          <w:sz w:val="21"/>
          <w:szCs w:val="21"/>
        </w:rPr>
        <w:t>，用药时应加以注意；</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sz w:val="21"/>
          <w:szCs w:val="21"/>
        </w:rPr>
        <w:t>相反表示增毒</w:t>
      </w:r>
      <w:r>
        <w:rPr>
          <w:rFonts w:hint="eastAsia" w:asciiTheme="minorEastAsia" w:hAnsiTheme="minorEastAsia" w:eastAsiaTheme="minorEastAsia" w:cstheme="minorEastAsia"/>
          <w:sz w:val="21"/>
          <w:szCs w:val="21"/>
        </w:rPr>
        <w:t>，原则上应绝对禁止。</w:t>
      </w:r>
      <w:r>
        <w:rPr>
          <w:rFonts w:hint="eastAsia" w:asciiTheme="minorEastAsia" w:hAnsiTheme="minorEastAsia" w:eastAsiaTheme="minorEastAsia" w:cstheme="minorEastAsia"/>
          <w:color w:val="000000"/>
          <w:sz w:val="21"/>
          <w:szCs w:val="21"/>
        </w:rPr>
        <w:t>[医学教育网原创]</w:t>
      </w:r>
    </w:p>
    <w:p>
      <w:pPr>
        <w:ind w:left="420" w:left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此外，若按协同与颉颃论，</w:t>
      </w:r>
      <w:r>
        <w:rPr>
          <w:rFonts w:hint="eastAsia" w:asciiTheme="minorEastAsia" w:hAnsiTheme="minorEastAsia" w:eastAsiaTheme="minorEastAsia" w:cstheme="minorEastAsia"/>
          <w:bCs/>
          <w:sz w:val="21"/>
          <w:szCs w:val="21"/>
        </w:rPr>
        <w:t>相须、相使表示协同，相畏、相杀、相恶却表颉颃</w:t>
      </w:r>
      <w:r>
        <w:rPr>
          <w:rFonts w:hint="eastAsia" w:asciiTheme="minorEastAsia" w:hAnsiTheme="minorEastAsia" w:eastAsiaTheme="minorEastAsia" w:cstheme="minorEastAsia"/>
          <w:sz w:val="21"/>
          <w:szCs w:val="21"/>
        </w:rPr>
        <w:t>。</w:t>
      </w:r>
    </w:p>
    <w:p>
      <w:pPr>
        <w:keepNext w:val="0"/>
        <w:keepLines w:val="0"/>
        <w:pageBreakBefore w:val="0"/>
        <w:kinsoku/>
        <w:wordWrap/>
        <w:overflowPunct/>
        <w:topLinePunct w:val="0"/>
        <w:autoSpaceDE/>
        <w:autoSpaceDN/>
        <w:bidi w:val="0"/>
        <w:adjustRightInd/>
        <w:snapToGrid/>
        <w:spacing w:line="360" w:lineRule="auto"/>
        <w:ind w:left="0" w:leftChars="0" w:firstLine="420" w:firstLineChars="200"/>
        <w:jc w:val="left"/>
        <w:textAlignment w:val="auto"/>
        <w:rPr>
          <w:rFonts w:hint="eastAsia" w:asciiTheme="minorEastAsia" w:hAnsiTheme="minorEastAsia" w:eastAsiaTheme="minorEastAsia" w:cstheme="minorEastAsia"/>
          <w:sz w:val="21"/>
          <w:szCs w:val="21"/>
          <w:lang w:eastAsia="zh-CN"/>
        </w:rPr>
      </w:pPr>
    </w:p>
    <w:p>
      <w:pPr>
        <w:keepNext w:val="0"/>
        <w:keepLines w:val="0"/>
        <w:pageBreakBefore w:val="0"/>
        <w:kinsoku/>
        <w:wordWrap/>
        <w:overflowPunct/>
        <w:topLinePunct w:val="0"/>
        <w:autoSpaceDE/>
        <w:autoSpaceDN/>
        <w:bidi w:val="0"/>
        <w:adjustRightInd/>
        <w:snapToGrid/>
        <w:spacing w:line="240" w:lineRule="auto"/>
        <w:ind w:left="0" w:leftChars="0" w:firstLine="422" w:firstLineChars="200"/>
        <w:jc w:val="left"/>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bCs/>
          <w:sz w:val="21"/>
          <w:szCs w:val="21"/>
          <w:lang w:val="en-US" w:eastAsia="zh-CN" w:bidi="ar-SA"/>
        </w:rPr>
        <w:t xml:space="preserve">  </w:t>
      </w:r>
    </w:p>
    <w:p>
      <w:pPr>
        <w:pStyle w:val="2"/>
        <w:ind w:firstLine="420" w:firstLineChars="200"/>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sectPr>
      <w:headerReference r:id="rId5" w:type="first"/>
      <w:headerReference r:id="rId3" w:type="default"/>
      <w:footerReference r:id="rId6"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kern w:val="0"/>
        <w:szCs w:val="21"/>
      </w:rPr>
      <w:t>-</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drawing>
        <wp:inline distT="0" distB="0" distL="114300" distR="114300">
          <wp:extent cx="1590675" cy="400050"/>
          <wp:effectExtent l="0" t="0" r="9525" b="0"/>
          <wp:docPr id="7"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logo1"/>
                  <pic:cNvPicPr>
                    <a:picLocks noChangeAspect="1"/>
                  </pic:cNvPicPr>
                </pic:nvPicPr>
                <pic:blipFill>
                  <a:blip r:embed="rId1"/>
                  <a:stretch>
                    <a:fillRect/>
                  </a:stretch>
                </pic:blipFill>
                <pic:spPr>
                  <a:xfrm>
                    <a:off x="0" y="0"/>
                    <a:ext cx="1590675" cy="400050"/>
                  </a:xfrm>
                  <a:prstGeom prst="rect">
                    <a:avLst/>
                  </a:prstGeom>
                  <a:noFill/>
                  <a:ln w="9525">
                    <a:noFill/>
                  </a:ln>
                </pic:spPr>
              </pic:pic>
            </a:graphicData>
          </a:graphic>
        </wp:inline>
      </w:drawing>
    </w:r>
    <w:r>
      <w:rPr>
        <w:rFonts w:hint="eastAsia"/>
      </w:rPr>
      <w:t>　　　　</w:t>
    </w:r>
    <w:r>
      <w:rPr>
        <w:rFonts w:hint="eastAsia"/>
        <w:color w:val="0000FF"/>
      </w:rPr>
      <w:t>24小时客服电话：010-82311666　免费咨询热线：4006501888</w:t>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66690" cy="7452995"/>
          <wp:effectExtent l="0" t="0" r="10160" b="14605"/>
          <wp:wrapNone/>
          <wp:docPr id="9"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3" descr="word水印"/>
                  <pic:cNvPicPr>
                    <a:picLocks noChangeAspect="1"/>
                  </pic:cNvPicPr>
                </pic:nvPicPr>
                <pic:blipFill>
                  <a:blip r:embed="rId2"/>
                  <a:stretch>
                    <a:fillRect/>
                  </a:stretch>
                </pic:blipFill>
                <pic:spPr>
                  <a:xfrm>
                    <a:off x="0" y="0"/>
                    <a:ext cx="5266690" cy="7452995"/>
                  </a:xfrm>
                  <a:prstGeom prst="rect">
                    <a:avLst/>
                  </a:prstGeom>
                  <a:noFill/>
                  <a:ln w="9525">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6690" cy="7452995"/>
          <wp:effectExtent l="0" t="0" r="10160" b="14605"/>
          <wp:wrapNone/>
          <wp:docPr id="10" name="WordPictureWatermark2"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PictureWatermark2" descr="word水印"/>
                  <pic:cNvPicPr>
                    <a:picLocks noChangeAspect="1"/>
                  </pic:cNvPicPr>
                </pic:nvPicPr>
                <pic:blipFill>
                  <a:blip r:embed="rId1"/>
                  <a:stretch>
                    <a:fillRect/>
                  </a:stretch>
                </pic:blipFill>
                <pic:spPr>
                  <a:xfrm>
                    <a:off x="0" y="0"/>
                    <a:ext cx="5266690" cy="7452995"/>
                  </a:xfrm>
                  <a:prstGeom prst="rect">
                    <a:avLst/>
                  </a:prstGeom>
                  <a:noFill/>
                  <a:ln w="9525">
                    <a:noFill/>
                  </a:ln>
                </pic:spPr>
              </pic:pic>
            </a:graphicData>
          </a:graphic>
        </wp:anchor>
      </w:drawing>
    </w:r>
  </w:p>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66690" cy="7452995"/>
          <wp:effectExtent l="0" t="0" r="10160" b="14605"/>
          <wp:wrapNone/>
          <wp:docPr id="1" name="WordPictureWatermark1"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 descr="word水印"/>
                  <pic:cNvPicPr>
                    <a:picLocks noChangeAspect="1"/>
                  </pic:cNvPicPr>
                </pic:nvPicPr>
                <pic:blipFill>
                  <a:blip r:embed="rId1"/>
                  <a:stretch>
                    <a:fillRect/>
                  </a:stretch>
                </pic:blipFill>
                <pic:spPr>
                  <a:xfrm>
                    <a:off x="0" y="0"/>
                    <a:ext cx="5266690" cy="7452995"/>
                  </a:xfrm>
                  <a:prstGeom prst="rect">
                    <a:avLst/>
                  </a:prstGeom>
                  <a:noFill/>
                  <a:ln w="9525">
                    <a:noFill/>
                  </a:ln>
                </pic:spPr>
              </pic:pic>
            </a:graphicData>
          </a:graphic>
        </wp:anchor>
      </w:drawing>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E17BD"/>
    <w:rsid w:val="04B8388A"/>
    <w:rsid w:val="06CF3324"/>
    <w:rsid w:val="08665180"/>
    <w:rsid w:val="0F537166"/>
    <w:rsid w:val="106643FC"/>
    <w:rsid w:val="107F6248"/>
    <w:rsid w:val="127A0EE7"/>
    <w:rsid w:val="12D5236D"/>
    <w:rsid w:val="12E36244"/>
    <w:rsid w:val="18D01A2C"/>
    <w:rsid w:val="194B5436"/>
    <w:rsid w:val="1AC84B7C"/>
    <w:rsid w:val="237F1922"/>
    <w:rsid w:val="2B7D4E30"/>
    <w:rsid w:val="31DC58B6"/>
    <w:rsid w:val="33E716F4"/>
    <w:rsid w:val="39952EC1"/>
    <w:rsid w:val="3AA6700A"/>
    <w:rsid w:val="3BAF2B5C"/>
    <w:rsid w:val="3BC24F08"/>
    <w:rsid w:val="3BD53001"/>
    <w:rsid w:val="3E06014F"/>
    <w:rsid w:val="40C04B35"/>
    <w:rsid w:val="41EE20BB"/>
    <w:rsid w:val="445034F2"/>
    <w:rsid w:val="44913CFC"/>
    <w:rsid w:val="4A2329CB"/>
    <w:rsid w:val="4E226735"/>
    <w:rsid w:val="4E8F3395"/>
    <w:rsid w:val="50276E9F"/>
    <w:rsid w:val="5065243F"/>
    <w:rsid w:val="52FD49A0"/>
    <w:rsid w:val="588E349F"/>
    <w:rsid w:val="5B6A3285"/>
    <w:rsid w:val="5BDF5C27"/>
    <w:rsid w:val="627E2EE0"/>
    <w:rsid w:val="62EB2EFA"/>
    <w:rsid w:val="6BCE3505"/>
    <w:rsid w:val="6C0138B9"/>
    <w:rsid w:val="75DF5C21"/>
    <w:rsid w:val="78FB74B5"/>
    <w:rsid w:val="7ACA6704"/>
    <w:rsid w:val="7B893A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pPr>
      <w:spacing w:line="360" w:lineRule="auto"/>
    </w:pPr>
    <w:rPr>
      <w:rFonts w:ascii="宋体" w:cs="Courier New"/>
      <w:szCs w:val="21"/>
      <w:lang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2018-05-16T10:33:59Z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y fmtid="{D5CDD505-2E9C-101B-9397-08002B2CF9AE}" pid="3" name="KSORubyTemplateID" linkTarget="0">
    <vt:lpwstr>6</vt:lpwstr>
  </property>
</Properties>
</file>