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4263" w:type="dxa"/>
        <w:tblInd w:w="-601" w:type="dxa"/>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
      <w:tblGrid>
        <w:gridCol w:w="709"/>
        <w:gridCol w:w="851"/>
        <w:gridCol w:w="825"/>
        <w:gridCol w:w="900"/>
        <w:gridCol w:w="1296"/>
        <w:gridCol w:w="832"/>
        <w:gridCol w:w="1827"/>
        <w:gridCol w:w="1473"/>
        <w:gridCol w:w="804"/>
        <w:gridCol w:w="3887"/>
        <w:gridCol w:w="859"/>
      </w:tblGrid>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877" w:hRule="atLeast"/>
        </w:trPr>
        <w:tc>
          <w:tcPr>
            <w:tcW w:w="14263" w:type="dxa"/>
            <w:gridSpan w:val="11"/>
            <w:tcBorders>
              <w:left w:val="nil"/>
              <w:bottom w:val="single" w:color="auto" w:sz="4" w:space="0"/>
              <w:right w:val="nil"/>
            </w:tcBorders>
            <w:vAlign w:val="center"/>
          </w:tcPr>
          <w:p>
            <w:pPr>
              <w:widowControl/>
              <w:jc w:val="left"/>
              <w:rPr>
                <w:rFonts w:ascii="宋体" w:hAnsi="宋体" w:cs="宋体"/>
                <w:b/>
                <w:bCs/>
                <w:kern w:val="0"/>
                <w:sz w:val="24"/>
                <w:szCs w:val="24"/>
              </w:rPr>
            </w:pPr>
            <w:bookmarkStart w:id="0" w:name="_GoBack"/>
            <w:bookmarkEnd w:id="0"/>
            <w:r>
              <w:rPr>
                <w:rFonts w:hint="eastAsia" w:ascii="宋体" w:hAnsi="宋体" w:cs="宋体"/>
                <w:b/>
                <w:bCs/>
                <w:kern w:val="0"/>
                <w:sz w:val="24"/>
                <w:szCs w:val="24"/>
              </w:rPr>
              <w:t>附件</w:t>
            </w:r>
            <w:r>
              <w:rPr>
                <w:rFonts w:ascii="宋体" w:hAnsi="宋体" w:cs="宋体"/>
                <w:b/>
                <w:bCs/>
                <w:kern w:val="0"/>
                <w:sz w:val="24"/>
                <w:szCs w:val="24"/>
              </w:rPr>
              <w:t>1</w:t>
            </w:r>
          </w:p>
          <w:p>
            <w:pPr>
              <w:widowControl/>
              <w:jc w:val="center"/>
              <w:rPr>
                <w:rFonts w:ascii="宋体" w:hAnsi="宋体" w:cs="宋体"/>
                <w:kern w:val="0"/>
                <w:sz w:val="24"/>
                <w:szCs w:val="24"/>
              </w:rPr>
            </w:pPr>
            <w:r>
              <w:rPr>
                <w:rFonts w:hint="eastAsia" w:eastAsia="方正仿宋_GBK"/>
                <w:b/>
                <w:bCs/>
              </w:rPr>
              <w:t>石柱县2018年上半年考核招聘医学类专业技术人才岗位条件一览表</w:t>
            </w: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371" w:hRule="atLeast"/>
        </w:trPr>
        <w:tc>
          <w:tcPr>
            <w:tcW w:w="70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主管部门</w:t>
            </w:r>
          </w:p>
        </w:tc>
        <w:tc>
          <w:tcPr>
            <w:tcW w:w="85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招聘单位</w:t>
            </w:r>
          </w:p>
        </w:tc>
        <w:tc>
          <w:tcPr>
            <w:tcW w:w="82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招聘岗位</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单位性质</w:t>
            </w:r>
          </w:p>
        </w:tc>
        <w:tc>
          <w:tcPr>
            <w:tcW w:w="129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岗位类别及等级</w:t>
            </w:r>
          </w:p>
        </w:tc>
        <w:tc>
          <w:tcPr>
            <w:tcW w:w="83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招聘人数</w:t>
            </w:r>
          </w:p>
        </w:tc>
        <w:tc>
          <w:tcPr>
            <w:tcW w:w="7991"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招聘条件及要求</w:t>
            </w:r>
          </w:p>
        </w:tc>
        <w:tc>
          <w:tcPr>
            <w:tcW w:w="85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备注</w:t>
            </w: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76" w:hRule="atLeast"/>
        </w:trPr>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cs="宋体"/>
                <w:kern w:val="0"/>
                <w:sz w:val="24"/>
                <w:szCs w:val="24"/>
              </w:rPr>
            </w:pPr>
          </w:p>
        </w:tc>
        <w:tc>
          <w:tcPr>
            <w:tcW w:w="851" w:type="dxa"/>
            <w:vMerge w:val="continue"/>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cs="宋体"/>
                <w:kern w:val="0"/>
                <w:sz w:val="24"/>
                <w:szCs w:val="24"/>
              </w:rPr>
            </w:pPr>
          </w:p>
        </w:tc>
        <w:tc>
          <w:tcPr>
            <w:tcW w:w="825" w:type="dxa"/>
            <w:vMerge w:val="continue"/>
            <w:tcBorders>
              <w:top w:val="single" w:color="auto" w:sz="4" w:space="0"/>
              <w:left w:val="single" w:color="auto" w:sz="4" w:space="0"/>
              <w:right w:val="single" w:color="auto" w:sz="4" w:space="0"/>
            </w:tcBorders>
            <w:vAlign w:val="center"/>
          </w:tcPr>
          <w:p>
            <w:pPr>
              <w:widowControl/>
              <w:jc w:val="center"/>
              <w:rPr>
                <w:rFonts w:ascii="宋体" w:cs="宋体"/>
                <w:kern w:val="0"/>
                <w:sz w:val="24"/>
                <w:szCs w:val="24"/>
              </w:rPr>
            </w:pPr>
          </w:p>
        </w:tc>
        <w:tc>
          <w:tcPr>
            <w:tcW w:w="900" w:type="dxa"/>
            <w:vMerge w:val="continue"/>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cs="宋体"/>
                <w:kern w:val="0"/>
                <w:sz w:val="24"/>
                <w:szCs w:val="24"/>
              </w:rPr>
            </w:pPr>
          </w:p>
        </w:tc>
        <w:tc>
          <w:tcPr>
            <w:tcW w:w="1296" w:type="dxa"/>
            <w:vMerge w:val="continue"/>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cs="宋体"/>
                <w:kern w:val="0"/>
                <w:sz w:val="24"/>
                <w:szCs w:val="24"/>
              </w:rPr>
            </w:pPr>
          </w:p>
        </w:tc>
        <w:tc>
          <w:tcPr>
            <w:tcW w:w="832" w:type="dxa"/>
            <w:vMerge w:val="continue"/>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cs="宋体"/>
                <w:kern w:val="0"/>
                <w:sz w:val="24"/>
                <w:szCs w:val="24"/>
              </w:rPr>
            </w:pPr>
          </w:p>
        </w:tc>
        <w:tc>
          <w:tcPr>
            <w:tcW w:w="1827" w:type="dxa"/>
            <w:tcBorders>
              <w:top w:val="single" w:color="auto" w:sz="4" w:space="0"/>
              <w:left w:val="nil"/>
              <w:bottom w:val="single" w:color="auto" w:sz="4" w:space="0"/>
              <w:right w:val="single" w:color="auto" w:sz="4" w:space="0"/>
            </w:tcBorders>
            <w:vAlign w:val="center"/>
          </w:tcPr>
          <w:p>
            <w:pPr>
              <w:widowControl/>
              <w:jc w:val="center"/>
              <w:rPr>
                <w:rFonts w:ascii="宋体" w:cs="宋体"/>
                <w:b/>
                <w:bCs/>
                <w:kern w:val="0"/>
                <w:sz w:val="24"/>
                <w:szCs w:val="24"/>
              </w:rPr>
            </w:pPr>
            <w:r>
              <w:rPr>
                <w:rFonts w:hint="eastAsia" w:ascii="宋体" w:hAnsi="宋体" w:cs="宋体"/>
                <w:b/>
                <w:bCs/>
                <w:kern w:val="0"/>
                <w:sz w:val="24"/>
                <w:szCs w:val="24"/>
              </w:rPr>
              <w:t>专业</w:t>
            </w:r>
          </w:p>
        </w:tc>
        <w:tc>
          <w:tcPr>
            <w:tcW w:w="1473" w:type="dxa"/>
            <w:tcBorders>
              <w:top w:val="single" w:color="auto" w:sz="4" w:space="0"/>
              <w:left w:val="nil"/>
              <w:bottom w:val="single" w:color="auto" w:sz="4" w:space="0"/>
              <w:right w:val="single" w:color="auto" w:sz="4" w:space="0"/>
            </w:tcBorders>
            <w:vAlign w:val="center"/>
          </w:tcPr>
          <w:p>
            <w:pPr>
              <w:widowControl/>
              <w:jc w:val="center"/>
              <w:rPr>
                <w:rFonts w:ascii="宋体" w:cs="宋体"/>
                <w:b/>
                <w:bCs/>
                <w:kern w:val="0"/>
                <w:sz w:val="24"/>
                <w:szCs w:val="24"/>
              </w:rPr>
            </w:pPr>
            <w:r>
              <w:rPr>
                <w:rFonts w:hint="eastAsia" w:ascii="宋体" w:hAnsi="宋体" w:cs="宋体"/>
                <w:b/>
                <w:bCs/>
                <w:kern w:val="0"/>
                <w:sz w:val="24"/>
                <w:szCs w:val="24"/>
              </w:rPr>
              <w:t>学历（学位）</w:t>
            </w: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s="宋体"/>
                <w:b/>
                <w:bCs/>
                <w:kern w:val="0"/>
                <w:sz w:val="24"/>
                <w:szCs w:val="24"/>
              </w:rPr>
            </w:pPr>
            <w:r>
              <w:rPr>
                <w:rFonts w:hint="eastAsia" w:ascii="宋体" w:hAnsi="宋体" w:cs="宋体"/>
                <w:b/>
                <w:bCs/>
                <w:kern w:val="0"/>
                <w:sz w:val="24"/>
                <w:szCs w:val="24"/>
              </w:rPr>
              <w:t>年龄</w:t>
            </w:r>
          </w:p>
        </w:tc>
        <w:tc>
          <w:tcPr>
            <w:tcW w:w="3887" w:type="dxa"/>
            <w:tcBorders>
              <w:top w:val="single" w:color="auto" w:sz="4" w:space="0"/>
              <w:left w:val="nil"/>
              <w:bottom w:val="single" w:color="auto" w:sz="4" w:space="0"/>
              <w:right w:val="single" w:color="auto" w:sz="4" w:space="0"/>
            </w:tcBorders>
            <w:vAlign w:val="center"/>
          </w:tcPr>
          <w:p>
            <w:pPr>
              <w:widowControl/>
              <w:jc w:val="center"/>
              <w:rPr>
                <w:rFonts w:ascii="宋体" w:cs="宋体"/>
                <w:b/>
                <w:bCs/>
                <w:kern w:val="0"/>
                <w:sz w:val="24"/>
                <w:szCs w:val="24"/>
              </w:rPr>
            </w:pPr>
            <w:r>
              <w:rPr>
                <w:rFonts w:hint="eastAsia" w:ascii="宋体" w:hAnsi="宋体" w:cs="宋体"/>
                <w:b/>
                <w:bCs/>
                <w:kern w:val="0"/>
                <w:sz w:val="24"/>
                <w:szCs w:val="24"/>
              </w:rPr>
              <w:t>其他</w:t>
            </w:r>
          </w:p>
        </w:tc>
        <w:tc>
          <w:tcPr>
            <w:tcW w:w="859" w:type="dxa"/>
            <w:vMerge w:val="continue"/>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cs="宋体"/>
                <w:kern w:val="0"/>
                <w:sz w:val="24"/>
                <w:szCs w:val="24"/>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1108" w:hRule="atLeast"/>
        </w:trPr>
        <w:tc>
          <w:tcPr>
            <w:tcW w:w="709" w:type="dxa"/>
            <w:vMerge w:val="restart"/>
            <w:tcBorders>
              <w:top w:val="single" w:color="auto" w:sz="4" w:space="0"/>
              <w:left w:val="single" w:color="auto" w:sz="4" w:space="0"/>
              <w:right w:val="single" w:color="auto" w:sz="4" w:space="0"/>
            </w:tcBorders>
            <w:vAlign w:val="center"/>
          </w:tcPr>
          <w:p>
            <w:pPr>
              <w:spacing w:line="240" w:lineRule="exact"/>
              <w:jc w:val="center"/>
              <w:rPr>
                <w:color w:val="000000"/>
              </w:rPr>
            </w:pPr>
            <w:r>
              <w:rPr>
                <w:rFonts w:hint="eastAsia" w:ascii="宋体" w:cs="宋体"/>
                <w:color w:val="000000"/>
                <w:kern w:val="0"/>
                <w:sz w:val="20"/>
              </w:rPr>
              <w:t>县卫生计生委</w:t>
            </w:r>
          </w:p>
          <w:p>
            <w:pPr>
              <w:spacing w:line="240" w:lineRule="exact"/>
              <w:jc w:val="center"/>
              <w:rPr>
                <w:color w:val="000000"/>
              </w:rPr>
            </w:pPr>
          </w:p>
        </w:tc>
        <w:tc>
          <w:tcPr>
            <w:tcW w:w="851" w:type="dxa"/>
            <w:vMerge w:val="restart"/>
            <w:tcBorders>
              <w:top w:val="single" w:color="auto" w:sz="4" w:space="0"/>
              <w:left w:val="nil"/>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县中医院</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中医</w:t>
            </w:r>
          </w:p>
        </w:tc>
        <w:tc>
          <w:tcPr>
            <w:tcW w:w="900" w:type="dxa"/>
            <w:vMerge w:val="restart"/>
            <w:tcBorders>
              <w:top w:val="single" w:color="auto" w:sz="4" w:space="0"/>
              <w:left w:val="nil"/>
              <w:right w:val="single" w:color="auto" w:sz="4" w:space="0"/>
            </w:tcBorders>
            <w:vAlign w:val="center"/>
          </w:tcPr>
          <w:p>
            <w:pPr>
              <w:spacing w:line="240" w:lineRule="exact"/>
              <w:jc w:val="center"/>
              <w:rPr>
                <w:color w:val="000000"/>
              </w:rPr>
            </w:pPr>
            <w:r>
              <w:rPr>
                <w:rFonts w:hint="eastAsia" w:ascii="宋体" w:cs="宋体"/>
                <w:color w:val="000000"/>
                <w:kern w:val="0"/>
                <w:sz w:val="20"/>
              </w:rPr>
              <w:t>财政差额</w:t>
            </w:r>
          </w:p>
          <w:p>
            <w:pPr>
              <w:spacing w:line="240" w:lineRule="exact"/>
              <w:jc w:val="center"/>
              <w:rPr>
                <w:color w:val="000000"/>
              </w:rPr>
            </w:pPr>
          </w:p>
        </w:tc>
        <w:tc>
          <w:tcPr>
            <w:tcW w:w="1296" w:type="dxa"/>
            <w:vMerge w:val="restart"/>
            <w:tcBorders>
              <w:top w:val="single" w:color="auto" w:sz="4" w:space="0"/>
              <w:left w:val="nil"/>
              <w:right w:val="single" w:color="auto" w:sz="4" w:space="0"/>
            </w:tcBorders>
            <w:vAlign w:val="center"/>
          </w:tcPr>
          <w:p>
            <w:pPr>
              <w:spacing w:line="240" w:lineRule="exact"/>
              <w:jc w:val="center"/>
              <w:rPr>
                <w:color w:val="000000"/>
              </w:rPr>
            </w:pPr>
            <w:r>
              <w:rPr>
                <w:rFonts w:hint="eastAsia" w:ascii="宋体" w:cs="宋体"/>
                <w:color w:val="000000"/>
                <w:kern w:val="0"/>
                <w:sz w:val="20"/>
              </w:rPr>
              <w:t>专技12级</w:t>
            </w:r>
          </w:p>
        </w:tc>
        <w:tc>
          <w:tcPr>
            <w:tcW w:w="83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ascii="Courier New" w:hAnsi="Courier New" w:cs="宋体"/>
                <w:color w:val="000000"/>
                <w:kern w:val="0"/>
                <w:sz w:val="20"/>
              </w:rPr>
              <w:t>3</w:t>
            </w:r>
          </w:p>
        </w:tc>
        <w:tc>
          <w:tcPr>
            <w:tcW w:w="1827"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中医内科学、中医儿科学、中西医结合临床</w:t>
            </w:r>
          </w:p>
        </w:tc>
        <w:tc>
          <w:tcPr>
            <w:tcW w:w="1473" w:type="dxa"/>
            <w:tcBorders>
              <w:top w:val="single" w:color="auto" w:sz="4" w:space="0"/>
              <w:left w:val="nil"/>
              <w:bottom w:val="single" w:color="auto" w:sz="4" w:space="0"/>
              <w:right w:val="single" w:color="auto" w:sz="4" w:space="0"/>
            </w:tcBorders>
            <w:vAlign w:val="center"/>
          </w:tcPr>
          <w:p>
            <w:pPr>
              <w:spacing w:line="240" w:lineRule="exact"/>
              <w:jc w:val="center"/>
              <w:rPr>
                <w:rFonts w:ascii="宋体" w:cs="宋体"/>
                <w:color w:val="000000"/>
                <w:sz w:val="20"/>
              </w:rPr>
            </w:pPr>
            <w:r>
              <w:rPr>
                <w:rFonts w:hint="eastAsia"/>
                <w:color w:val="000000"/>
                <w:sz w:val="20"/>
              </w:rPr>
              <w:t>全日制普通高校研究生学历及相应学位</w:t>
            </w:r>
          </w:p>
        </w:tc>
        <w:tc>
          <w:tcPr>
            <w:tcW w:w="804" w:type="dxa"/>
            <w:tcBorders>
              <w:top w:val="single" w:color="auto" w:sz="4" w:space="0"/>
              <w:left w:val="nil"/>
              <w:bottom w:val="single" w:color="auto" w:sz="4" w:space="0"/>
              <w:right w:val="single" w:color="auto" w:sz="4" w:space="0"/>
            </w:tcBorders>
            <w:vAlign w:val="center"/>
          </w:tcPr>
          <w:p>
            <w:pPr>
              <w:spacing w:line="240" w:lineRule="exact"/>
              <w:jc w:val="center"/>
              <w:rPr>
                <w:rFonts w:ascii="宋体" w:cs="宋体"/>
                <w:color w:val="000000"/>
                <w:sz w:val="20"/>
              </w:rPr>
            </w:pPr>
            <w:r>
              <w:rPr>
                <w:color w:val="000000"/>
                <w:sz w:val="20"/>
              </w:rPr>
              <w:t>40</w:t>
            </w:r>
            <w:r>
              <w:rPr>
                <w:rFonts w:hint="eastAsia"/>
                <w:color w:val="000000"/>
                <w:sz w:val="20"/>
              </w:rPr>
              <w:t>周岁及以下</w:t>
            </w:r>
          </w:p>
        </w:tc>
        <w:tc>
          <w:tcPr>
            <w:tcW w:w="3887"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需取得执业医师资格（中医儿科学专业2016年及以后的毕业生不作执业资格要求）。具有规培证者学历可放宽至全日制普通高校本科学历并取得相应学位。</w:t>
            </w:r>
          </w:p>
        </w:tc>
        <w:tc>
          <w:tcPr>
            <w:tcW w:w="85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1906" w:hRule="atLeast"/>
        </w:trPr>
        <w:tc>
          <w:tcPr>
            <w:tcW w:w="709" w:type="dxa"/>
            <w:vMerge w:val="continue"/>
            <w:tcBorders>
              <w:left w:val="single" w:color="auto" w:sz="4" w:space="0"/>
              <w:right w:val="single" w:color="auto" w:sz="4" w:space="0"/>
            </w:tcBorders>
            <w:vAlign w:val="center"/>
          </w:tcPr>
          <w:p>
            <w:pPr>
              <w:spacing w:line="240" w:lineRule="exact"/>
              <w:jc w:val="center"/>
              <w:rPr>
                <w:color w:val="000000"/>
              </w:rPr>
            </w:pPr>
          </w:p>
        </w:tc>
        <w:tc>
          <w:tcPr>
            <w:tcW w:w="851" w:type="dxa"/>
            <w:vMerge w:val="continue"/>
            <w:tcBorders>
              <w:left w:val="nil"/>
              <w:right w:val="single" w:color="auto" w:sz="4" w:space="0"/>
            </w:tcBorders>
            <w:vAlign w:val="center"/>
          </w:tcPr>
          <w:p>
            <w:pPr>
              <w:widowControl/>
              <w:spacing w:line="240" w:lineRule="exact"/>
              <w:jc w:val="center"/>
              <w:rPr>
                <w:rFonts w:ascii="宋体" w:cs="宋体"/>
                <w:color w:val="000000"/>
                <w:kern w:val="0"/>
                <w:sz w:val="20"/>
              </w:rPr>
            </w:pPr>
          </w:p>
        </w:tc>
        <w:tc>
          <w:tcPr>
            <w:tcW w:w="825" w:type="dxa"/>
            <w:tcBorders>
              <w:top w:val="nil"/>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临床</w:t>
            </w:r>
          </w:p>
        </w:tc>
        <w:tc>
          <w:tcPr>
            <w:tcW w:w="900" w:type="dxa"/>
            <w:vMerge w:val="continue"/>
            <w:tcBorders>
              <w:left w:val="nil"/>
              <w:right w:val="single" w:color="auto" w:sz="4" w:space="0"/>
            </w:tcBorders>
            <w:vAlign w:val="center"/>
          </w:tcPr>
          <w:p>
            <w:pPr>
              <w:spacing w:line="240" w:lineRule="exact"/>
              <w:jc w:val="center"/>
              <w:rPr>
                <w:color w:val="000000"/>
              </w:rPr>
            </w:pPr>
          </w:p>
        </w:tc>
        <w:tc>
          <w:tcPr>
            <w:tcW w:w="1296" w:type="dxa"/>
            <w:vMerge w:val="continue"/>
            <w:tcBorders>
              <w:left w:val="nil"/>
              <w:right w:val="single" w:color="auto" w:sz="4" w:space="0"/>
            </w:tcBorders>
            <w:vAlign w:val="center"/>
          </w:tcPr>
          <w:p>
            <w:pPr>
              <w:spacing w:line="240" w:lineRule="exact"/>
              <w:jc w:val="center"/>
              <w:rPr>
                <w:color w:val="000000"/>
              </w:rPr>
            </w:pPr>
          </w:p>
        </w:tc>
        <w:tc>
          <w:tcPr>
            <w:tcW w:w="832" w:type="dxa"/>
            <w:tcBorders>
              <w:top w:val="nil"/>
              <w:left w:val="nil"/>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ascii="Courier New" w:hAnsi="Courier New" w:cs="宋体"/>
                <w:color w:val="000000"/>
                <w:kern w:val="0"/>
                <w:sz w:val="20"/>
              </w:rPr>
              <w:t>11</w:t>
            </w:r>
          </w:p>
        </w:tc>
        <w:tc>
          <w:tcPr>
            <w:tcW w:w="1827" w:type="dxa"/>
            <w:tcBorders>
              <w:top w:val="nil"/>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临床医学、外科学、急诊医学、内科学、儿科医学、儿科学、妇产科学，眼科学，耳鼻咽喉科学</w:t>
            </w:r>
          </w:p>
        </w:tc>
        <w:tc>
          <w:tcPr>
            <w:tcW w:w="1473" w:type="dxa"/>
            <w:vMerge w:val="restart"/>
            <w:tcBorders>
              <w:top w:val="nil"/>
              <w:left w:val="nil"/>
              <w:right w:val="single" w:color="auto" w:sz="4" w:space="0"/>
            </w:tcBorders>
            <w:vAlign w:val="center"/>
          </w:tcPr>
          <w:p>
            <w:pPr>
              <w:spacing w:line="240" w:lineRule="exact"/>
              <w:jc w:val="center"/>
              <w:rPr>
                <w:rFonts w:ascii="宋体" w:cs="宋体"/>
                <w:color w:val="000000"/>
                <w:sz w:val="20"/>
              </w:rPr>
            </w:pPr>
            <w:r>
              <w:rPr>
                <w:rFonts w:hint="eastAsia"/>
                <w:color w:val="000000"/>
                <w:sz w:val="20"/>
              </w:rPr>
              <w:t>全日制普通高校本科以上学历及相应学位</w:t>
            </w:r>
          </w:p>
          <w:p>
            <w:pPr>
              <w:spacing w:line="240" w:lineRule="exact"/>
              <w:jc w:val="center"/>
              <w:rPr>
                <w:rFonts w:ascii="宋体" w:cs="宋体"/>
                <w:color w:val="000000"/>
                <w:sz w:val="20"/>
              </w:rPr>
            </w:pPr>
          </w:p>
        </w:tc>
        <w:tc>
          <w:tcPr>
            <w:tcW w:w="804" w:type="dxa"/>
            <w:vMerge w:val="restart"/>
            <w:tcBorders>
              <w:top w:val="nil"/>
              <w:left w:val="nil"/>
              <w:right w:val="single" w:color="auto" w:sz="4" w:space="0"/>
            </w:tcBorders>
            <w:vAlign w:val="center"/>
          </w:tcPr>
          <w:p>
            <w:pPr>
              <w:spacing w:line="240" w:lineRule="exact"/>
              <w:jc w:val="center"/>
              <w:rPr>
                <w:rFonts w:ascii="宋体" w:cs="宋体"/>
                <w:color w:val="000000"/>
                <w:sz w:val="20"/>
              </w:rPr>
            </w:pPr>
            <w:r>
              <w:rPr>
                <w:color w:val="000000"/>
                <w:sz w:val="20"/>
              </w:rPr>
              <w:t>35</w:t>
            </w:r>
            <w:r>
              <w:rPr>
                <w:rFonts w:hint="eastAsia"/>
                <w:color w:val="000000"/>
                <w:sz w:val="20"/>
              </w:rPr>
              <w:t>周岁及以下</w:t>
            </w:r>
          </w:p>
          <w:p>
            <w:pPr>
              <w:spacing w:line="240" w:lineRule="exact"/>
              <w:jc w:val="center"/>
              <w:rPr>
                <w:rFonts w:ascii="宋体" w:cs="宋体"/>
                <w:color w:val="000000"/>
                <w:sz w:val="20"/>
              </w:rPr>
            </w:pPr>
          </w:p>
        </w:tc>
        <w:tc>
          <w:tcPr>
            <w:tcW w:w="3887" w:type="dxa"/>
            <w:tcBorders>
              <w:top w:val="nil"/>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需取得执业医师资格（儿科学、儿科医学专业2016年及以后的毕业生不作执业资格要求）。取得相应中级以上职称资格者，学历可放宽至全日制普通高校专科学历，年龄放宽至</w:t>
            </w:r>
            <w:r>
              <w:rPr>
                <w:rFonts w:ascii="宋体" w:cs="宋体"/>
                <w:color w:val="000000"/>
                <w:kern w:val="0"/>
                <w:sz w:val="20"/>
              </w:rPr>
              <w:t>40</w:t>
            </w:r>
            <w:r>
              <w:rPr>
                <w:rFonts w:hint="eastAsia" w:ascii="宋体" w:cs="宋体"/>
                <w:color w:val="000000"/>
                <w:kern w:val="0"/>
                <w:sz w:val="20"/>
              </w:rPr>
              <w:t>周岁及以下。取得相应高级职称资格，学历可放宽至全日制普通高校专科学历，年龄放宽至</w:t>
            </w:r>
            <w:r>
              <w:rPr>
                <w:rFonts w:ascii="宋体" w:cs="宋体"/>
                <w:color w:val="000000"/>
                <w:kern w:val="0"/>
                <w:sz w:val="20"/>
              </w:rPr>
              <w:t>45</w:t>
            </w:r>
            <w:r>
              <w:rPr>
                <w:rFonts w:hint="eastAsia" w:ascii="宋体" w:cs="宋体"/>
                <w:color w:val="000000"/>
                <w:kern w:val="0"/>
                <w:sz w:val="20"/>
              </w:rPr>
              <w:t>周岁及以下。</w:t>
            </w:r>
          </w:p>
        </w:tc>
        <w:tc>
          <w:tcPr>
            <w:tcW w:w="859" w:type="dxa"/>
            <w:tcBorders>
              <w:top w:val="nil"/>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38" w:hRule="atLeast"/>
        </w:trPr>
        <w:tc>
          <w:tcPr>
            <w:tcW w:w="709" w:type="dxa"/>
            <w:vMerge w:val="continue"/>
            <w:tcBorders>
              <w:left w:val="single" w:color="auto" w:sz="4" w:space="0"/>
              <w:right w:val="single" w:color="auto" w:sz="4" w:space="0"/>
            </w:tcBorders>
            <w:vAlign w:val="center"/>
          </w:tcPr>
          <w:p>
            <w:pPr>
              <w:spacing w:line="240" w:lineRule="exact"/>
              <w:jc w:val="center"/>
              <w:rPr>
                <w:color w:val="000000"/>
              </w:rPr>
            </w:pPr>
          </w:p>
        </w:tc>
        <w:tc>
          <w:tcPr>
            <w:tcW w:w="851" w:type="dxa"/>
            <w:vMerge w:val="continue"/>
            <w:tcBorders>
              <w:left w:val="nil"/>
              <w:right w:val="single" w:color="auto" w:sz="4" w:space="0"/>
            </w:tcBorders>
            <w:vAlign w:val="center"/>
          </w:tcPr>
          <w:p>
            <w:pPr>
              <w:widowControl/>
              <w:spacing w:line="240" w:lineRule="exact"/>
              <w:jc w:val="center"/>
              <w:rPr>
                <w:rFonts w:ascii="宋体" w:cs="宋体"/>
                <w:color w:val="000000"/>
                <w:kern w:val="0"/>
                <w:sz w:val="20"/>
              </w:rPr>
            </w:pPr>
          </w:p>
        </w:tc>
        <w:tc>
          <w:tcPr>
            <w:tcW w:w="825" w:type="dxa"/>
            <w:tcBorders>
              <w:top w:val="nil"/>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ascii="宋体" w:cs="宋体"/>
                <w:color w:val="000000"/>
                <w:kern w:val="0"/>
                <w:sz w:val="20"/>
              </w:rPr>
              <w:t>B</w:t>
            </w:r>
            <w:r>
              <w:rPr>
                <w:rFonts w:hint="eastAsia" w:ascii="宋体" w:cs="宋体"/>
                <w:color w:val="000000"/>
                <w:kern w:val="0"/>
                <w:sz w:val="20"/>
              </w:rPr>
              <w:t>超室</w:t>
            </w:r>
          </w:p>
        </w:tc>
        <w:tc>
          <w:tcPr>
            <w:tcW w:w="900" w:type="dxa"/>
            <w:vMerge w:val="continue"/>
            <w:tcBorders>
              <w:left w:val="nil"/>
              <w:right w:val="single" w:color="auto" w:sz="4" w:space="0"/>
            </w:tcBorders>
            <w:vAlign w:val="center"/>
          </w:tcPr>
          <w:p>
            <w:pPr>
              <w:spacing w:line="240" w:lineRule="exact"/>
              <w:jc w:val="center"/>
              <w:rPr>
                <w:color w:val="000000"/>
              </w:rPr>
            </w:pPr>
          </w:p>
        </w:tc>
        <w:tc>
          <w:tcPr>
            <w:tcW w:w="1296" w:type="dxa"/>
            <w:vMerge w:val="continue"/>
            <w:tcBorders>
              <w:left w:val="nil"/>
              <w:right w:val="single" w:color="auto" w:sz="4" w:space="0"/>
            </w:tcBorders>
            <w:vAlign w:val="center"/>
          </w:tcPr>
          <w:p>
            <w:pPr>
              <w:spacing w:line="240" w:lineRule="exact"/>
              <w:jc w:val="center"/>
              <w:rPr>
                <w:color w:val="000000"/>
              </w:rPr>
            </w:pPr>
          </w:p>
        </w:tc>
        <w:tc>
          <w:tcPr>
            <w:tcW w:w="832" w:type="dxa"/>
            <w:tcBorders>
              <w:top w:val="nil"/>
              <w:left w:val="nil"/>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ascii="Courier New" w:hAnsi="Courier New" w:cs="宋体"/>
                <w:color w:val="000000"/>
                <w:kern w:val="0"/>
                <w:sz w:val="20"/>
              </w:rPr>
              <w:t>2</w:t>
            </w:r>
          </w:p>
        </w:tc>
        <w:tc>
          <w:tcPr>
            <w:tcW w:w="1827" w:type="dxa"/>
            <w:tcBorders>
              <w:top w:val="nil"/>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医学影像学、影像医学与核医学、临床医学</w:t>
            </w:r>
          </w:p>
        </w:tc>
        <w:tc>
          <w:tcPr>
            <w:tcW w:w="1473" w:type="dxa"/>
            <w:vMerge w:val="continue"/>
            <w:tcBorders>
              <w:left w:val="nil"/>
              <w:right w:val="single" w:color="auto" w:sz="4" w:space="0"/>
            </w:tcBorders>
            <w:vAlign w:val="center"/>
          </w:tcPr>
          <w:p>
            <w:pPr>
              <w:spacing w:line="240" w:lineRule="exact"/>
              <w:jc w:val="center"/>
              <w:rPr>
                <w:rFonts w:ascii="宋体" w:cs="宋体"/>
                <w:color w:val="000000"/>
                <w:sz w:val="20"/>
              </w:rPr>
            </w:pPr>
          </w:p>
        </w:tc>
        <w:tc>
          <w:tcPr>
            <w:tcW w:w="804" w:type="dxa"/>
            <w:vMerge w:val="continue"/>
            <w:tcBorders>
              <w:left w:val="nil"/>
              <w:right w:val="single" w:color="auto" w:sz="4" w:space="0"/>
            </w:tcBorders>
            <w:vAlign w:val="center"/>
          </w:tcPr>
          <w:p>
            <w:pPr>
              <w:spacing w:line="240" w:lineRule="exact"/>
              <w:jc w:val="center"/>
              <w:rPr>
                <w:rFonts w:ascii="宋体" w:cs="宋体"/>
                <w:color w:val="000000"/>
                <w:sz w:val="20"/>
              </w:rPr>
            </w:pPr>
          </w:p>
        </w:tc>
        <w:tc>
          <w:tcPr>
            <w:tcW w:w="3887" w:type="dxa"/>
            <w:vMerge w:val="restart"/>
            <w:tcBorders>
              <w:top w:val="nil"/>
              <w:left w:val="nil"/>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需取得执业医师资格（医学影像学、影像医学与核医学专业2016年及以后的毕业生不作执业资格要求）。取得相应中级以上职称资格者，学历可放宽至全日制普通高校专科学历、年龄放宽至</w:t>
            </w:r>
            <w:r>
              <w:rPr>
                <w:rFonts w:ascii="宋体" w:cs="宋体"/>
                <w:color w:val="000000"/>
                <w:kern w:val="0"/>
                <w:sz w:val="20"/>
              </w:rPr>
              <w:t>40</w:t>
            </w:r>
            <w:r>
              <w:rPr>
                <w:rFonts w:hint="eastAsia" w:ascii="宋体" w:cs="宋体"/>
                <w:color w:val="000000"/>
                <w:kern w:val="0"/>
                <w:sz w:val="20"/>
              </w:rPr>
              <w:t>周岁及以下。专业为临床医学并从事医学影像学工作且取得中级以上资格职称者，学历可放宽至全日制普通高校专科学历，年龄放宽至</w:t>
            </w:r>
            <w:r>
              <w:rPr>
                <w:rFonts w:ascii="宋体" w:cs="宋体"/>
                <w:color w:val="000000"/>
                <w:kern w:val="0"/>
                <w:sz w:val="20"/>
              </w:rPr>
              <w:t>40</w:t>
            </w:r>
            <w:r>
              <w:rPr>
                <w:rFonts w:hint="eastAsia" w:ascii="宋体" w:cs="宋体"/>
                <w:color w:val="000000"/>
                <w:kern w:val="0"/>
                <w:sz w:val="20"/>
              </w:rPr>
              <w:t>周岁及以下。</w:t>
            </w:r>
          </w:p>
        </w:tc>
        <w:tc>
          <w:tcPr>
            <w:tcW w:w="859" w:type="dxa"/>
            <w:tcBorders>
              <w:top w:val="nil"/>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38" w:hRule="atLeast"/>
        </w:trPr>
        <w:tc>
          <w:tcPr>
            <w:tcW w:w="709" w:type="dxa"/>
            <w:vMerge w:val="continue"/>
            <w:tcBorders>
              <w:left w:val="single" w:color="auto" w:sz="4" w:space="0"/>
              <w:bottom w:val="single" w:color="auto" w:sz="4" w:space="0"/>
              <w:right w:val="single" w:color="auto" w:sz="4" w:space="0"/>
            </w:tcBorders>
            <w:vAlign w:val="center"/>
          </w:tcPr>
          <w:p>
            <w:pPr>
              <w:spacing w:line="240" w:lineRule="exact"/>
              <w:jc w:val="center"/>
              <w:rPr>
                <w:color w:val="000000"/>
              </w:rPr>
            </w:pPr>
          </w:p>
        </w:tc>
        <w:tc>
          <w:tcPr>
            <w:tcW w:w="851" w:type="dxa"/>
            <w:vMerge w:val="continue"/>
            <w:tcBorders>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p>
        </w:tc>
        <w:tc>
          <w:tcPr>
            <w:tcW w:w="825" w:type="dxa"/>
            <w:tcBorders>
              <w:top w:val="nil"/>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放射科</w:t>
            </w:r>
          </w:p>
        </w:tc>
        <w:tc>
          <w:tcPr>
            <w:tcW w:w="900" w:type="dxa"/>
            <w:vMerge w:val="continue"/>
            <w:tcBorders>
              <w:left w:val="nil"/>
              <w:bottom w:val="single" w:color="auto" w:sz="4" w:space="0"/>
              <w:right w:val="single" w:color="auto" w:sz="4" w:space="0"/>
            </w:tcBorders>
            <w:vAlign w:val="center"/>
          </w:tcPr>
          <w:p>
            <w:pPr>
              <w:spacing w:line="240" w:lineRule="exact"/>
              <w:jc w:val="center"/>
              <w:rPr>
                <w:color w:val="000000"/>
              </w:rPr>
            </w:pPr>
          </w:p>
        </w:tc>
        <w:tc>
          <w:tcPr>
            <w:tcW w:w="1296" w:type="dxa"/>
            <w:vMerge w:val="continue"/>
            <w:tcBorders>
              <w:left w:val="nil"/>
              <w:bottom w:val="single" w:color="auto" w:sz="4" w:space="0"/>
              <w:right w:val="single" w:color="auto" w:sz="4" w:space="0"/>
            </w:tcBorders>
            <w:vAlign w:val="center"/>
          </w:tcPr>
          <w:p>
            <w:pPr>
              <w:spacing w:line="240" w:lineRule="exact"/>
              <w:jc w:val="center"/>
              <w:rPr>
                <w:color w:val="000000"/>
              </w:rPr>
            </w:pPr>
          </w:p>
        </w:tc>
        <w:tc>
          <w:tcPr>
            <w:tcW w:w="832" w:type="dxa"/>
            <w:tcBorders>
              <w:top w:val="nil"/>
              <w:left w:val="nil"/>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ascii="Courier New" w:hAnsi="Courier New" w:cs="宋体"/>
                <w:color w:val="000000"/>
                <w:kern w:val="0"/>
                <w:sz w:val="20"/>
              </w:rPr>
              <w:t>2</w:t>
            </w:r>
          </w:p>
        </w:tc>
        <w:tc>
          <w:tcPr>
            <w:tcW w:w="1827" w:type="dxa"/>
            <w:tcBorders>
              <w:top w:val="nil"/>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医学影像学、影像医学与核医学</w:t>
            </w:r>
          </w:p>
        </w:tc>
        <w:tc>
          <w:tcPr>
            <w:tcW w:w="1473" w:type="dxa"/>
            <w:vMerge w:val="continue"/>
            <w:tcBorders>
              <w:left w:val="nil"/>
              <w:bottom w:val="single" w:color="auto" w:sz="4" w:space="0"/>
              <w:right w:val="single" w:color="auto" w:sz="4" w:space="0"/>
            </w:tcBorders>
            <w:vAlign w:val="center"/>
          </w:tcPr>
          <w:p>
            <w:pPr>
              <w:spacing w:line="240" w:lineRule="exact"/>
              <w:jc w:val="center"/>
              <w:rPr>
                <w:rFonts w:ascii="宋体" w:cs="宋体"/>
                <w:color w:val="000000"/>
                <w:sz w:val="20"/>
              </w:rPr>
            </w:pPr>
          </w:p>
        </w:tc>
        <w:tc>
          <w:tcPr>
            <w:tcW w:w="804" w:type="dxa"/>
            <w:vMerge w:val="continue"/>
            <w:tcBorders>
              <w:left w:val="nil"/>
              <w:bottom w:val="single" w:color="auto" w:sz="4" w:space="0"/>
              <w:right w:val="single" w:color="auto" w:sz="4" w:space="0"/>
            </w:tcBorders>
            <w:vAlign w:val="center"/>
          </w:tcPr>
          <w:p>
            <w:pPr>
              <w:spacing w:line="240" w:lineRule="exact"/>
              <w:jc w:val="center"/>
              <w:rPr>
                <w:rFonts w:ascii="宋体" w:cs="宋体"/>
                <w:color w:val="000000"/>
                <w:sz w:val="20"/>
              </w:rPr>
            </w:pPr>
          </w:p>
        </w:tc>
        <w:tc>
          <w:tcPr>
            <w:tcW w:w="3887" w:type="dxa"/>
            <w:vMerge w:val="continue"/>
            <w:tcBorders>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p>
        </w:tc>
        <w:tc>
          <w:tcPr>
            <w:tcW w:w="859" w:type="dxa"/>
            <w:tcBorders>
              <w:top w:val="nil"/>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38" w:hRule="atLeast"/>
        </w:trPr>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color w:val="000000"/>
              </w:rPr>
            </w:pPr>
            <w:r>
              <w:rPr>
                <w:rFonts w:hint="eastAsia" w:ascii="宋体" w:cs="宋体"/>
                <w:color w:val="000000"/>
                <w:kern w:val="0"/>
                <w:sz w:val="20"/>
              </w:rPr>
              <w:t>县卫生计生委</w:t>
            </w:r>
          </w:p>
        </w:tc>
        <w:tc>
          <w:tcPr>
            <w:tcW w:w="851" w:type="dxa"/>
            <w:tcBorders>
              <w:top w:val="single" w:color="auto" w:sz="4" w:space="0"/>
              <w:left w:val="nil"/>
              <w:bottom w:val="single" w:color="auto" w:sz="4" w:space="0"/>
              <w:right w:val="single" w:color="auto" w:sz="4" w:space="0"/>
            </w:tcBorders>
            <w:vAlign w:val="center"/>
          </w:tcPr>
          <w:p>
            <w:pPr>
              <w:widowControl/>
              <w:spacing w:line="220" w:lineRule="exact"/>
              <w:jc w:val="center"/>
              <w:rPr>
                <w:rFonts w:ascii="宋体" w:cs="宋体"/>
                <w:color w:val="000000"/>
                <w:kern w:val="0"/>
                <w:sz w:val="20"/>
              </w:rPr>
            </w:pPr>
            <w:r>
              <w:rPr>
                <w:rFonts w:hint="eastAsia" w:ascii="宋体" w:cs="宋体"/>
                <w:color w:val="000000"/>
                <w:kern w:val="0"/>
                <w:sz w:val="20"/>
              </w:rPr>
              <w:t>县妇幼保健计划生育服务中心</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临床</w:t>
            </w:r>
          </w:p>
        </w:tc>
        <w:tc>
          <w:tcPr>
            <w:tcW w:w="900" w:type="dxa"/>
            <w:tcBorders>
              <w:top w:val="single" w:color="auto" w:sz="4" w:space="0"/>
              <w:left w:val="nil"/>
              <w:bottom w:val="single" w:color="auto" w:sz="4" w:space="0"/>
              <w:right w:val="single" w:color="auto" w:sz="4" w:space="0"/>
            </w:tcBorders>
            <w:vAlign w:val="center"/>
          </w:tcPr>
          <w:p>
            <w:pPr>
              <w:spacing w:line="240" w:lineRule="exact"/>
              <w:jc w:val="center"/>
              <w:rPr>
                <w:color w:val="000000"/>
              </w:rPr>
            </w:pPr>
            <w:r>
              <w:rPr>
                <w:rFonts w:hint="eastAsia" w:ascii="宋体" w:cs="宋体"/>
                <w:color w:val="000000"/>
                <w:kern w:val="0"/>
                <w:sz w:val="20"/>
              </w:rPr>
              <w:t>财政全额</w:t>
            </w:r>
          </w:p>
        </w:tc>
        <w:tc>
          <w:tcPr>
            <w:tcW w:w="1296" w:type="dxa"/>
            <w:tcBorders>
              <w:top w:val="single" w:color="auto" w:sz="4" w:space="0"/>
              <w:left w:val="nil"/>
              <w:bottom w:val="single" w:color="auto" w:sz="4" w:space="0"/>
              <w:right w:val="single" w:color="auto" w:sz="4" w:space="0"/>
            </w:tcBorders>
            <w:vAlign w:val="center"/>
          </w:tcPr>
          <w:p>
            <w:pPr>
              <w:spacing w:line="240" w:lineRule="exact"/>
              <w:jc w:val="center"/>
              <w:rPr>
                <w:color w:val="000000"/>
              </w:rPr>
            </w:pPr>
            <w:r>
              <w:rPr>
                <w:rFonts w:hint="eastAsia" w:ascii="宋体" w:cs="宋体"/>
                <w:color w:val="000000"/>
                <w:kern w:val="0"/>
                <w:sz w:val="20"/>
              </w:rPr>
              <w:t>专技12级</w:t>
            </w:r>
          </w:p>
        </w:tc>
        <w:tc>
          <w:tcPr>
            <w:tcW w:w="83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ascii="Courier New" w:hAnsi="Courier New" w:cs="宋体"/>
                <w:color w:val="000000"/>
                <w:kern w:val="0"/>
                <w:sz w:val="20"/>
              </w:rPr>
              <w:t>1</w:t>
            </w:r>
          </w:p>
        </w:tc>
        <w:tc>
          <w:tcPr>
            <w:tcW w:w="1827"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临床医学、妇产科学、儿科学</w:t>
            </w:r>
          </w:p>
        </w:tc>
        <w:tc>
          <w:tcPr>
            <w:tcW w:w="1473" w:type="dxa"/>
            <w:tcBorders>
              <w:top w:val="single" w:color="auto" w:sz="4" w:space="0"/>
              <w:left w:val="nil"/>
              <w:bottom w:val="single" w:color="auto" w:sz="4" w:space="0"/>
              <w:right w:val="single" w:color="auto" w:sz="4" w:space="0"/>
            </w:tcBorders>
            <w:vAlign w:val="center"/>
          </w:tcPr>
          <w:p>
            <w:pPr>
              <w:spacing w:line="240" w:lineRule="exact"/>
              <w:jc w:val="center"/>
              <w:rPr>
                <w:rFonts w:ascii="宋体" w:cs="宋体"/>
                <w:color w:val="000000"/>
                <w:sz w:val="20"/>
              </w:rPr>
            </w:pPr>
            <w:r>
              <w:rPr>
                <w:rFonts w:hint="eastAsia"/>
                <w:color w:val="000000"/>
                <w:sz w:val="20"/>
              </w:rPr>
              <w:t>全日制普通高校本科以上学历及相应学位</w:t>
            </w:r>
          </w:p>
        </w:tc>
        <w:tc>
          <w:tcPr>
            <w:tcW w:w="804" w:type="dxa"/>
            <w:tcBorders>
              <w:top w:val="single" w:color="auto" w:sz="4" w:space="0"/>
              <w:left w:val="nil"/>
              <w:bottom w:val="single" w:color="auto" w:sz="4" w:space="0"/>
              <w:right w:val="single" w:color="auto" w:sz="4" w:space="0"/>
            </w:tcBorders>
            <w:vAlign w:val="center"/>
          </w:tcPr>
          <w:p>
            <w:pPr>
              <w:spacing w:line="240" w:lineRule="exact"/>
              <w:jc w:val="center"/>
              <w:rPr>
                <w:rFonts w:ascii="宋体" w:cs="宋体"/>
                <w:color w:val="000000"/>
                <w:sz w:val="20"/>
              </w:rPr>
            </w:pPr>
            <w:r>
              <w:rPr>
                <w:color w:val="000000"/>
                <w:sz w:val="20"/>
              </w:rPr>
              <w:t>35</w:t>
            </w:r>
            <w:r>
              <w:rPr>
                <w:rFonts w:hint="eastAsia"/>
                <w:color w:val="000000"/>
                <w:sz w:val="20"/>
              </w:rPr>
              <w:t>周岁及以下</w:t>
            </w:r>
          </w:p>
        </w:tc>
        <w:tc>
          <w:tcPr>
            <w:tcW w:w="3887"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需具备执业资格。取得中级以上职称资格者，学历可放宽至全日制普通高校专科学历，年龄放宽至</w:t>
            </w:r>
            <w:r>
              <w:rPr>
                <w:rFonts w:ascii="宋体" w:cs="宋体"/>
                <w:color w:val="000000"/>
                <w:kern w:val="0"/>
                <w:sz w:val="20"/>
              </w:rPr>
              <w:t>40</w:t>
            </w:r>
            <w:r>
              <w:rPr>
                <w:rFonts w:hint="eastAsia" w:ascii="宋体" w:cs="宋体"/>
                <w:color w:val="000000"/>
                <w:kern w:val="0"/>
                <w:sz w:val="20"/>
              </w:rPr>
              <w:t>周岁及以下。</w:t>
            </w:r>
          </w:p>
        </w:tc>
        <w:tc>
          <w:tcPr>
            <w:tcW w:w="859"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38" w:hRule="atLeast"/>
        </w:trPr>
        <w:tc>
          <w:tcPr>
            <w:tcW w:w="709" w:type="dxa"/>
            <w:vMerge w:val="restart"/>
            <w:tcBorders>
              <w:top w:val="single" w:color="auto" w:sz="4" w:space="0"/>
              <w:left w:val="single" w:color="auto" w:sz="4" w:space="0"/>
              <w:right w:val="single" w:color="auto" w:sz="4" w:space="0"/>
            </w:tcBorders>
            <w:vAlign w:val="center"/>
          </w:tcPr>
          <w:p>
            <w:pPr>
              <w:spacing w:line="240" w:lineRule="exact"/>
              <w:jc w:val="center"/>
              <w:rPr>
                <w:rFonts w:ascii="宋体" w:cs="宋体"/>
                <w:color w:val="000000"/>
                <w:kern w:val="0"/>
                <w:sz w:val="20"/>
              </w:rPr>
            </w:pPr>
          </w:p>
          <w:p>
            <w:pPr>
              <w:spacing w:line="240" w:lineRule="exact"/>
              <w:jc w:val="center"/>
              <w:rPr>
                <w:rFonts w:ascii="宋体" w:cs="宋体"/>
                <w:color w:val="000000"/>
                <w:kern w:val="0"/>
                <w:sz w:val="20"/>
              </w:rPr>
            </w:pPr>
          </w:p>
          <w:p>
            <w:pPr>
              <w:spacing w:line="240" w:lineRule="exact"/>
              <w:jc w:val="center"/>
              <w:rPr>
                <w:rFonts w:ascii="宋体" w:cs="宋体"/>
                <w:color w:val="000000"/>
                <w:kern w:val="0"/>
                <w:sz w:val="20"/>
              </w:rPr>
            </w:pPr>
          </w:p>
          <w:p>
            <w:pPr>
              <w:spacing w:line="240" w:lineRule="exact"/>
              <w:jc w:val="center"/>
              <w:rPr>
                <w:rFonts w:ascii="宋体" w:cs="宋体"/>
                <w:color w:val="000000"/>
                <w:kern w:val="0"/>
                <w:sz w:val="20"/>
              </w:rPr>
            </w:pPr>
            <w:r>
              <w:rPr>
                <w:rFonts w:hint="eastAsia" w:ascii="宋体" w:cs="宋体"/>
                <w:color w:val="000000"/>
                <w:kern w:val="0"/>
                <w:sz w:val="20"/>
              </w:rPr>
              <w:t>县卫生计生委</w:t>
            </w:r>
          </w:p>
          <w:p>
            <w:pPr>
              <w:spacing w:line="240" w:lineRule="exact"/>
              <w:jc w:val="center"/>
              <w:rPr>
                <w:rFonts w:ascii="宋体" w:cs="宋体"/>
                <w:color w:val="000000"/>
                <w:kern w:val="0"/>
                <w:sz w:val="20"/>
              </w:rPr>
            </w:pPr>
          </w:p>
        </w:tc>
        <w:tc>
          <w:tcPr>
            <w:tcW w:w="851" w:type="dxa"/>
            <w:vMerge w:val="restart"/>
            <w:tcBorders>
              <w:top w:val="single" w:color="auto" w:sz="4" w:space="0"/>
              <w:left w:val="nil"/>
              <w:right w:val="single" w:color="auto" w:sz="4" w:space="0"/>
            </w:tcBorders>
            <w:vAlign w:val="center"/>
          </w:tcPr>
          <w:p>
            <w:pPr>
              <w:spacing w:line="240" w:lineRule="exact"/>
              <w:jc w:val="center"/>
              <w:rPr>
                <w:rFonts w:ascii="宋体" w:cs="宋体"/>
                <w:color w:val="000000"/>
                <w:kern w:val="0"/>
                <w:sz w:val="20"/>
              </w:rPr>
            </w:pPr>
          </w:p>
          <w:p>
            <w:pPr>
              <w:spacing w:line="240" w:lineRule="exact"/>
              <w:jc w:val="center"/>
              <w:rPr>
                <w:rFonts w:ascii="宋体" w:cs="宋体"/>
                <w:color w:val="000000"/>
                <w:kern w:val="0"/>
                <w:sz w:val="20"/>
              </w:rPr>
            </w:pPr>
          </w:p>
          <w:p>
            <w:pPr>
              <w:spacing w:line="240" w:lineRule="exact"/>
              <w:jc w:val="center"/>
              <w:rPr>
                <w:rFonts w:ascii="宋体" w:cs="宋体"/>
                <w:color w:val="000000"/>
                <w:kern w:val="0"/>
                <w:sz w:val="20"/>
              </w:rPr>
            </w:pPr>
          </w:p>
          <w:p>
            <w:pPr>
              <w:spacing w:line="240" w:lineRule="exact"/>
              <w:jc w:val="center"/>
              <w:rPr>
                <w:rFonts w:ascii="宋体" w:cs="宋体"/>
                <w:color w:val="000000"/>
                <w:kern w:val="0"/>
                <w:sz w:val="20"/>
              </w:rPr>
            </w:pPr>
            <w:r>
              <w:rPr>
                <w:rFonts w:hint="eastAsia" w:ascii="宋体" w:cs="宋体"/>
                <w:color w:val="000000"/>
                <w:kern w:val="0"/>
                <w:sz w:val="20"/>
              </w:rPr>
              <w:t>南宾街道社区卫生服务中心</w:t>
            </w: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放射</w:t>
            </w:r>
          </w:p>
        </w:tc>
        <w:tc>
          <w:tcPr>
            <w:tcW w:w="900" w:type="dxa"/>
            <w:vMerge w:val="restart"/>
            <w:tcBorders>
              <w:top w:val="single" w:color="auto" w:sz="4" w:space="0"/>
              <w:left w:val="nil"/>
              <w:right w:val="single" w:color="auto" w:sz="4" w:space="0"/>
            </w:tcBorders>
            <w:vAlign w:val="center"/>
          </w:tcPr>
          <w:p>
            <w:pPr>
              <w:spacing w:line="240" w:lineRule="exact"/>
              <w:jc w:val="center"/>
              <w:rPr>
                <w:rFonts w:ascii="宋体" w:cs="宋体"/>
                <w:color w:val="000000"/>
                <w:kern w:val="0"/>
                <w:sz w:val="20"/>
              </w:rPr>
            </w:pPr>
          </w:p>
          <w:p>
            <w:pPr>
              <w:spacing w:line="240" w:lineRule="exact"/>
              <w:jc w:val="center"/>
              <w:rPr>
                <w:rFonts w:ascii="宋体" w:cs="宋体"/>
                <w:color w:val="000000"/>
                <w:kern w:val="0"/>
                <w:sz w:val="20"/>
              </w:rPr>
            </w:pPr>
          </w:p>
          <w:p>
            <w:pPr>
              <w:spacing w:line="240" w:lineRule="exact"/>
              <w:jc w:val="center"/>
              <w:rPr>
                <w:rFonts w:ascii="宋体" w:cs="宋体"/>
                <w:color w:val="000000"/>
                <w:kern w:val="0"/>
                <w:sz w:val="20"/>
              </w:rPr>
            </w:pPr>
          </w:p>
          <w:p>
            <w:pPr>
              <w:spacing w:line="240" w:lineRule="exact"/>
              <w:jc w:val="center"/>
              <w:rPr>
                <w:rFonts w:ascii="宋体" w:cs="宋体"/>
                <w:color w:val="000000"/>
                <w:kern w:val="0"/>
                <w:sz w:val="20"/>
              </w:rPr>
            </w:pPr>
          </w:p>
          <w:p>
            <w:pPr>
              <w:spacing w:line="240" w:lineRule="exact"/>
              <w:jc w:val="center"/>
              <w:rPr>
                <w:rFonts w:ascii="宋体" w:cs="宋体"/>
                <w:color w:val="000000"/>
                <w:kern w:val="0"/>
                <w:sz w:val="20"/>
              </w:rPr>
            </w:pPr>
            <w:r>
              <w:rPr>
                <w:rFonts w:hint="eastAsia" w:ascii="宋体" w:cs="宋体"/>
                <w:color w:val="000000"/>
                <w:kern w:val="0"/>
                <w:sz w:val="20"/>
              </w:rPr>
              <w:t>财政差额</w:t>
            </w:r>
          </w:p>
        </w:tc>
        <w:tc>
          <w:tcPr>
            <w:tcW w:w="1296" w:type="dxa"/>
            <w:vMerge w:val="restart"/>
            <w:tcBorders>
              <w:top w:val="single" w:color="auto" w:sz="4" w:space="0"/>
              <w:left w:val="nil"/>
              <w:right w:val="single" w:color="auto" w:sz="4" w:space="0"/>
            </w:tcBorders>
            <w:vAlign w:val="center"/>
          </w:tcPr>
          <w:p>
            <w:pPr>
              <w:spacing w:line="240" w:lineRule="exact"/>
              <w:jc w:val="center"/>
              <w:rPr>
                <w:rFonts w:ascii="宋体" w:cs="宋体"/>
                <w:color w:val="000000"/>
                <w:kern w:val="0"/>
                <w:sz w:val="20"/>
              </w:rPr>
            </w:pPr>
          </w:p>
          <w:p>
            <w:pPr>
              <w:spacing w:line="240" w:lineRule="exact"/>
              <w:jc w:val="center"/>
              <w:rPr>
                <w:rFonts w:ascii="宋体" w:cs="宋体"/>
                <w:color w:val="000000"/>
                <w:kern w:val="0"/>
                <w:sz w:val="20"/>
              </w:rPr>
            </w:pPr>
          </w:p>
          <w:p>
            <w:pPr>
              <w:spacing w:line="240" w:lineRule="exact"/>
              <w:jc w:val="center"/>
              <w:rPr>
                <w:rFonts w:ascii="宋体" w:cs="宋体"/>
                <w:color w:val="000000"/>
                <w:kern w:val="0"/>
                <w:sz w:val="20"/>
              </w:rPr>
            </w:pPr>
          </w:p>
          <w:p>
            <w:pPr>
              <w:spacing w:line="240" w:lineRule="exact"/>
              <w:jc w:val="center"/>
              <w:rPr>
                <w:rFonts w:ascii="宋体" w:cs="宋体"/>
                <w:color w:val="000000"/>
                <w:kern w:val="0"/>
                <w:sz w:val="20"/>
              </w:rPr>
            </w:pPr>
          </w:p>
          <w:p>
            <w:pPr>
              <w:spacing w:line="240" w:lineRule="exact"/>
              <w:jc w:val="center"/>
              <w:rPr>
                <w:rFonts w:ascii="宋体" w:cs="宋体"/>
                <w:color w:val="000000"/>
                <w:kern w:val="0"/>
                <w:sz w:val="20"/>
              </w:rPr>
            </w:pPr>
            <w:r>
              <w:rPr>
                <w:rFonts w:hint="eastAsia" w:ascii="宋体" w:cs="宋体"/>
                <w:color w:val="000000"/>
                <w:kern w:val="0"/>
                <w:sz w:val="20"/>
              </w:rPr>
              <w:t>专技12级</w:t>
            </w:r>
          </w:p>
        </w:tc>
        <w:tc>
          <w:tcPr>
            <w:tcW w:w="83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ascii="Courier New" w:hAnsi="Courier New" w:cs="宋体"/>
                <w:color w:val="000000"/>
                <w:kern w:val="0"/>
                <w:sz w:val="20"/>
              </w:rPr>
              <w:t>1</w:t>
            </w:r>
          </w:p>
        </w:tc>
        <w:tc>
          <w:tcPr>
            <w:tcW w:w="1827"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医学影像、医学影像学、医学影像技术、医学技术</w:t>
            </w:r>
          </w:p>
        </w:tc>
        <w:tc>
          <w:tcPr>
            <w:tcW w:w="1473" w:type="dxa"/>
            <w:vMerge w:val="restart"/>
            <w:tcBorders>
              <w:top w:val="single" w:color="auto" w:sz="4" w:space="0"/>
              <w:left w:val="nil"/>
              <w:right w:val="single" w:color="auto" w:sz="4" w:space="0"/>
            </w:tcBorders>
            <w:vAlign w:val="center"/>
          </w:tcPr>
          <w:p>
            <w:pPr>
              <w:spacing w:line="240" w:lineRule="exact"/>
              <w:jc w:val="center"/>
              <w:rPr>
                <w:color w:val="000000"/>
                <w:sz w:val="20"/>
              </w:rPr>
            </w:pPr>
          </w:p>
          <w:p>
            <w:pPr>
              <w:spacing w:line="240" w:lineRule="exact"/>
              <w:jc w:val="center"/>
              <w:rPr>
                <w:color w:val="000000"/>
                <w:sz w:val="20"/>
              </w:rPr>
            </w:pPr>
          </w:p>
          <w:p>
            <w:pPr>
              <w:spacing w:line="240" w:lineRule="exact"/>
              <w:jc w:val="center"/>
              <w:rPr>
                <w:color w:val="000000"/>
                <w:sz w:val="20"/>
              </w:rPr>
            </w:pPr>
          </w:p>
          <w:p>
            <w:pPr>
              <w:spacing w:line="240" w:lineRule="exact"/>
              <w:jc w:val="center"/>
              <w:rPr>
                <w:color w:val="000000"/>
                <w:sz w:val="20"/>
              </w:rPr>
            </w:pPr>
            <w:r>
              <w:rPr>
                <w:rFonts w:hint="eastAsia"/>
                <w:color w:val="000000"/>
                <w:sz w:val="20"/>
              </w:rPr>
              <w:t>全日制普通高校本科以上学历及相应学位</w:t>
            </w:r>
          </w:p>
        </w:tc>
        <w:tc>
          <w:tcPr>
            <w:tcW w:w="804" w:type="dxa"/>
            <w:vMerge w:val="restart"/>
            <w:tcBorders>
              <w:top w:val="single" w:color="auto" w:sz="4" w:space="0"/>
              <w:left w:val="nil"/>
              <w:right w:val="single" w:color="auto" w:sz="4" w:space="0"/>
            </w:tcBorders>
            <w:vAlign w:val="center"/>
          </w:tcPr>
          <w:p>
            <w:pPr>
              <w:spacing w:line="240" w:lineRule="exact"/>
              <w:jc w:val="center"/>
              <w:rPr>
                <w:color w:val="000000"/>
                <w:sz w:val="20"/>
              </w:rPr>
            </w:pPr>
          </w:p>
          <w:p>
            <w:pPr>
              <w:spacing w:line="240" w:lineRule="exact"/>
              <w:jc w:val="center"/>
              <w:rPr>
                <w:color w:val="000000"/>
                <w:sz w:val="20"/>
              </w:rPr>
            </w:pPr>
          </w:p>
          <w:p>
            <w:pPr>
              <w:spacing w:line="240" w:lineRule="exact"/>
              <w:jc w:val="center"/>
              <w:rPr>
                <w:color w:val="000000"/>
                <w:sz w:val="20"/>
              </w:rPr>
            </w:pPr>
          </w:p>
          <w:p>
            <w:pPr>
              <w:spacing w:line="240" w:lineRule="exact"/>
              <w:jc w:val="center"/>
              <w:rPr>
                <w:color w:val="000000"/>
                <w:sz w:val="20"/>
              </w:rPr>
            </w:pPr>
            <w:r>
              <w:rPr>
                <w:rFonts w:hint="eastAsia"/>
                <w:color w:val="000000"/>
                <w:sz w:val="20"/>
              </w:rPr>
              <w:t>35周岁及以下</w:t>
            </w:r>
          </w:p>
        </w:tc>
        <w:tc>
          <w:tcPr>
            <w:tcW w:w="3887" w:type="dxa"/>
            <w:vMerge w:val="restart"/>
            <w:tcBorders>
              <w:top w:val="single" w:color="auto" w:sz="4" w:space="0"/>
              <w:left w:val="nil"/>
              <w:right w:val="single" w:color="auto" w:sz="4" w:space="0"/>
            </w:tcBorders>
            <w:vAlign w:val="center"/>
          </w:tcPr>
          <w:p>
            <w:pPr>
              <w:widowControl/>
              <w:spacing w:line="240" w:lineRule="exact"/>
              <w:jc w:val="center"/>
              <w:rPr>
                <w:rFonts w:ascii="宋体" w:cs="宋体"/>
                <w:color w:val="000000"/>
                <w:kern w:val="0"/>
                <w:sz w:val="20"/>
              </w:rPr>
            </w:pPr>
          </w:p>
          <w:p>
            <w:pPr>
              <w:widowControl/>
              <w:spacing w:line="240" w:lineRule="exact"/>
              <w:jc w:val="center"/>
              <w:rPr>
                <w:rFonts w:ascii="宋体" w:cs="宋体"/>
                <w:color w:val="000000"/>
                <w:kern w:val="0"/>
                <w:sz w:val="20"/>
              </w:rPr>
            </w:pPr>
          </w:p>
          <w:p>
            <w:pPr>
              <w:widowControl/>
              <w:spacing w:line="240" w:lineRule="exact"/>
              <w:jc w:val="center"/>
              <w:rPr>
                <w:rFonts w:ascii="宋体" w:cs="宋体"/>
                <w:color w:val="000000"/>
                <w:kern w:val="0"/>
                <w:sz w:val="20"/>
              </w:rPr>
            </w:pPr>
            <w:r>
              <w:rPr>
                <w:rFonts w:hint="eastAsia" w:ascii="宋体" w:cs="宋体"/>
                <w:color w:val="000000"/>
                <w:kern w:val="0"/>
                <w:sz w:val="20"/>
              </w:rPr>
              <w:t>具备执业资格者，学历可放宽至全日制普通高校大学专科学历。取得中级职称者，学历可放宽至国民教育专科学历，年龄可放宽至</w:t>
            </w:r>
            <w:r>
              <w:rPr>
                <w:rFonts w:ascii="宋体" w:cs="宋体"/>
                <w:color w:val="000000"/>
                <w:kern w:val="0"/>
                <w:sz w:val="20"/>
              </w:rPr>
              <w:t>40</w:t>
            </w:r>
            <w:r>
              <w:rPr>
                <w:rFonts w:hint="eastAsia" w:ascii="宋体" w:cs="宋体"/>
                <w:color w:val="000000"/>
                <w:kern w:val="0"/>
                <w:sz w:val="20"/>
              </w:rPr>
              <w:t>周岁及以下</w:t>
            </w:r>
          </w:p>
        </w:tc>
        <w:tc>
          <w:tcPr>
            <w:tcW w:w="859"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38" w:hRule="atLeast"/>
        </w:trPr>
        <w:tc>
          <w:tcPr>
            <w:tcW w:w="709" w:type="dxa"/>
            <w:vMerge w:val="continue"/>
            <w:tcBorders>
              <w:left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851" w:type="dxa"/>
            <w:vMerge w:val="continue"/>
            <w:tcBorders>
              <w:left w:val="nil"/>
              <w:right w:val="single" w:color="auto" w:sz="4" w:space="0"/>
            </w:tcBorders>
            <w:vAlign w:val="center"/>
          </w:tcPr>
          <w:p>
            <w:pPr>
              <w:spacing w:line="240" w:lineRule="exact"/>
              <w:jc w:val="center"/>
              <w:rPr>
                <w:rFonts w:ascii="宋体" w:cs="宋体"/>
                <w:color w:val="000000"/>
                <w:kern w:val="0"/>
                <w:sz w:val="20"/>
              </w:rPr>
            </w:pP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ascii="宋体" w:cs="宋体"/>
                <w:color w:val="000000"/>
                <w:kern w:val="0"/>
                <w:sz w:val="20"/>
              </w:rPr>
              <w:t>B</w:t>
            </w:r>
            <w:r>
              <w:rPr>
                <w:rFonts w:hint="eastAsia" w:ascii="宋体" w:cs="宋体"/>
                <w:color w:val="000000"/>
                <w:kern w:val="0"/>
                <w:sz w:val="20"/>
              </w:rPr>
              <w:t>超</w:t>
            </w:r>
          </w:p>
        </w:tc>
        <w:tc>
          <w:tcPr>
            <w:tcW w:w="900" w:type="dxa"/>
            <w:vMerge w:val="continue"/>
            <w:tcBorders>
              <w:left w:val="nil"/>
              <w:right w:val="single" w:color="auto" w:sz="4" w:space="0"/>
            </w:tcBorders>
            <w:vAlign w:val="center"/>
          </w:tcPr>
          <w:p>
            <w:pPr>
              <w:spacing w:line="240" w:lineRule="exact"/>
              <w:jc w:val="center"/>
              <w:rPr>
                <w:rFonts w:ascii="宋体" w:cs="宋体"/>
                <w:color w:val="000000"/>
                <w:kern w:val="0"/>
                <w:sz w:val="20"/>
              </w:rPr>
            </w:pPr>
          </w:p>
        </w:tc>
        <w:tc>
          <w:tcPr>
            <w:tcW w:w="1296" w:type="dxa"/>
            <w:vMerge w:val="continue"/>
            <w:tcBorders>
              <w:left w:val="nil"/>
              <w:right w:val="single" w:color="auto" w:sz="4" w:space="0"/>
            </w:tcBorders>
            <w:vAlign w:val="center"/>
          </w:tcPr>
          <w:p>
            <w:pPr>
              <w:spacing w:line="240" w:lineRule="exact"/>
              <w:jc w:val="center"/>
              <w:rPr>
                <w:rFonts w:ascii="宋体" w:cs="宋体"/>
                <w:color w:val="000000"/>
                <w:kern w:val="0"/>
                <w:sz w:val="20"/>
              </w:rPr>
            </w:pPr>
          </w:p>
        </w:tc>
        <w:tc>
          <w:tcPr>
            <w:tcW w:w="83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ascii="Courier New" w:hAnsi="Courier New" w:cs="宋体"/>
                <w:color w:val="000000"/>
                <w:kern w:val="0"/>
                <w:sz w:val="20"/>
              </w:rPr>
              <w:t>1</w:t>
            </w:r>
          </w:p>
        </w:tc>
        <w:tc>
          <w:tcPr>
            <w:tcW w:w="1827"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医学影像学、医学影像技术、医学技术</w:t>
            </w:r>
          </w:p>
        </w:tc>
        <w:tc>
          <w:tcPr>
            <w:tcW w:w="1473" w:type="dxa"/>
            <w:vMerge w:val="continue"/>
            <w:tcBorders>
              <w:left w:val="nil"/>
              <w:right w:val="single" w:color="auto" w:sz="4" w:space="0"/>
            </w:tcBorders>
            <w:vAlign w:val="center"/>
          </w:tcPr>
          <w:p>
            <w:pPr>
              <w:spacing w:line="240" w:lineRule="exact"/>
              <w:jc w:val="center"/>
              <w:rPr>
                <w:color w:val="000000"/>
                <w:sz w:val="20"/>
              </w:rPr>
            </w:pPr>
          </w:p>
        </w:tc>
        <w:tc>
          <w:tcPr>
            <w:tcW w:w="804" w:type="dxa"/>
            <w:vMerge w:val="continue"/>
            <w:tcBorders>
              <w:left w:val="nil"/>
              <w:right w:val="single" w:color="auto" w:sz="4" w:space="0"/>
            </w:tcBorders>
            <w:vAlign w:val="center"/>
          </w:tcPr>
          <w:p>
            <w:pPr>
              <w:spacing w:line="240" w:lineRule="exact"/>
              <w:jc w:val="center"/>
              <w:rPr>
                <w:color w:val="000000"/>
                <w:sz w:val="20"/>
              </w:rPr>
            </w:pPr>
          </w:p>
        </w:tc>
        <w:tc>
          <w:tcPr>
            <w:tcW w:w="3887" w:type="dxa"/>
            <w:vMerge w:val="continue"/>
            <w:tcBorders>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p>
        </w:tc>
        <w:tc>
          <w:tcPr>
            <w:tcW w:w="859"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38" w:hRule="atLeast"/>
        </w:trPr>
        <w:tc>
          <w:tcPr>
            <w:tcW w:w="709" w:type="dxa"/>
            <w:vMerge w:val="continue"/>
            <w:tcBorders>
              <w:left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851" w:type="dxa"/>
            <w:vMerge w:val="continue"/>
            <w:tcBorders>
              <w:left w:val="nil"/>
              <w:right w:val="single" w:color="auto" w:sz="4" w:space="0"/>
            </w:tcBorders>
            <w:vAlign w:val="center"/>
          </w:tcPr>
          <w:p>
            <w:pPr>
              <w:widowControl/>
              <w:spacing w:line="220" w:lineRule="exact"/>
              <w:jc w:val="center"/>
              <w:rPr>
                <w:rFonts w:ascii="宋体" w:cs="宋体"/>
                <w:color w:val="000000"/>
                <w:kern w:val="0"/>
                <w:sz w:val="20"/>
              </w:rPr>
            </w:pP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检验</w:t>
            </w:r>
          </w:p>
        </w:tc>
        <w:tc>
          <w:tcPr>
            <w:tcW w:w="900" w:type="dxa"/>
            <w:vMerge w:val="continue"/>
            <w:tcBorders>
              <w:left w:val="nil"/>
              <w:right w:val="single" w:color="auto" w:sz="4" w:space="0"/>
            </w:tcBorders>
            <w:vAlign w:val="center"/>
          </w:tcPr>
          <w:p>
            <w:pPr>
              <w:spacing w:line="240" w:lineRule="exact"/>
              <w:jc w:val="center"/>
              <w:rPr>
                <w:rFonts w:ascii="宋体" w:cs="宋体"/>
                <w:color w:val="000000"/>
                <w:kern w:val="0"/>
                <w:sz w:val="20"/>
              </w:rPr>
            </w:pPr>
          </w:p>
        </w:tc>
        <w:tc>
          <w:tcPr>
            <w:tcW w:w="1296" w:type="dxa"/>
            <w:vMerge w:val="continue"/>
            <w:tcBorders>
              <w:left w:val="nil"/>
              <w:right w:val="single" w:color="auto" w:sz="4" w:space="0"/>
            </w:tcBorders>
            <w:vAlign w:val="center"/>
          </w:tcPr>
          <w:p>
            <w:pPr>
              <w:spacing w:line="240" w:lineRule="exact"/>
              <w:jc w:val="center"/>
              <w:rPr>
                <w:rFonts w:ascii="宋体" w:cs="宋体"/>
                <w:color w:val="000000"/>
                <w:kern w:val="0"/>
                <w:sz w:val="20"/>
              </w:rPr>
            </w:pPr>
          </w:p>
        </w:tc>
        <w:tc>
          <w:tcPr>
            <w:tcW w:w="83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ascii="Courier New" w:hAnsi="Courier New" w:cs="宋体"/>
                <w:color w:val="000000"/>
                <w:kern w:val="0"/>
                <w:sz w:val="20"/>
              </w:rPr>
              <w:t>1</w:t>
            </w:r>
          </w:p>
        </w:tc>
        <w:tc>
          <w:tcPr>
            <w:tcW w:w="1827"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医学检验、医学检验技术、医学技术</w:t>
            </w:r>
          </w:p>
        </w:tc>
        <w:tc>
          <w:tcPr>
            <w:tcW w:w="1473" w:type="dxa"/>
            <w:vMerge w:val="continue"/>
            <w:tcBorders>
              <w:left w:val="nil"/>
              <w:right w:val="single" w:color="auto" w:sz="4" w:space="0"/>
            </w:tcBorders>
            <w:vAlign w:val="center"/>
          </w:tcPr>
          <w:p>
            <w:pPr>
              <w:spacing w:line="240" w:lineRule="exact"/>
              <w:jc w:val="center"/>
              <w:rPr>
                <w:color w:val="000000"/>
                <w:sz w:val="20"/>
              </w:rPr>
            </w:pPr>
          </w:p>
        </w:tc>
        <w:tc>
          <w:tcPr>
            <w:tcW w:w="804" w:type="dxa"/>
            <w:vMerge w:val="continue"/>
            <w:tcBorders>
              <w:left w:val="nil"/>
              <w:right w:val="single" w:color="auto" w:sz="4" w:space="0"/>
            </w:tcBorders>
            <w:vAlign w:val="center"/>
          </w:tcPr>
          <w:p>
            <w:pPr>
              <w:spacing w:line="240" w:lineRule="exact"/>
              <w:jc w:val="center"/>
              <w:rPr>
                <w:color w:val="000000"/>
                <w:sz w:val="20"/>
              </w:rPr>
            </w:pPr>
          </w:p>
        </w:tc>
        <w:tc>
          <w:tcPr>
            <w:tcW w:w="3887"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需具备检验士及以上资格。取得中级职称者，学历可放宽至国民教育专科，年龄可放宽至</w:t>
            </w:r>
            <w:r>
              <w:rPr>
                <w:rFonts w:ascii="宋体" w:cs="宋体"/>
                <w:color w:val="000000"/>
                <w:kern w:val="0"/>
                <w:sz w:val="20"/>
              </w:rPr>
              <w:t>40</w:t>
            </w:r>
            <w:r>
              <w:rPr>
                <w:rFonts w:hint="eastAsia" w:ascii="宋体" w:cs="宋体"/>
                <w:color w:val="000000"/>
                <w:kern w:val="0"/>
                <w:sz w:val="20"/>
              </w:rPr>
              <w:t>周岁及以下</w:t>
            </w:r>
          </w:p>
        </w:tc>
        <w:tc>
          <w:tcPr>
            <w:tcW w:w="859"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38" w:hRule="atLeast"/>
        </w:trPr>
        <w:tc>
          <w:tcPr>
            <w:tcW w:w="709" w:type="dxa"/>
            <w:vMerge w:val="continue"/>
            <w:tcBorders>
              <w:left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851" w:type="dxa"/>
            <w:vMerge w:val="continue"/>
            <w:tcBorders>
              <w:left w:val="nil"/>
              <w:right w:val="single" w:color="auto" w:sz="4" w:space="0"/>
            </w:tcBorders>
            <w:vAlign w:val="center"/>
          </w:tcPr>
          <w:p>
            <w:pPr>
              <w:widowControl/>
              <w:spacing w:line="220" w:lineRule="exact"/>
              <w:jc w:val="center"/>
              <w:rPr>
                <w:rFonts w:ascii="宋体" w:cs="宋体"/>
                <w:color w:val="000000"/>
                <w:kern w:val="0"/>
                <w:sz w:val="20"/>
              </w:rPr>
            </w:pP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药学</w:t>
            </w:r>
          </w:p>
        </w:tc>
        <w:tc>
          <w:tcPr>
            <w:tcW w:w="900" w:type="dxa"/>
            <w:vMerge w:val="continue"/>
            <w:tcBorders>
              <w:left w:val="nil"/>
              <w:right w:val="single" w:color="auto" w:sz="4" w:space="0"/>
            </w:tcBorders>
            <w:vAlign w:val="center"/>
          </w:tcPr>
          <w:p>
            <w:pPr>
              <w:spacing w:line="240" w:lineRule="exact"/>
              <w:jc w:val="center"/>
              <w:rPr>
                <w:rFonts w:ascii="宋体" w:cs="宋体"/>
                <w:color w:val="000000"/>
                <w:kern w:val="0"/>
                <w:sz w:val="20"/>
              </w:rPr>
            </w:pPr>
          </w:p>
        </w:tc>
        <w:tc>
          <w:tcPr>
            <w:tcW w:w="1296" w:type="dxa"/>
            <w:vMerge w:val="continue"/>
            <w:tcBorders>
              <w:left w:val="nil"/>
              <w:right w:val="single" w:color="auto" w:sz="4" w:space="0"/>
            </w:tcBorders>
            <w:vAlign w:val="center"/>
          </w:tcPr>
          <w:p>
            <w:pPr>
              <w:spacing w:line="240" w:lineRule="exact"/>
              <w:jc w:val="center"/>
              <w:rPr>
                <w:rFonts w:ascii="宋体" w:cs="宋体"/>
                <w:color w:val="000000"/>
                <w:kern w:val="0"/>
                <w:sz w:val="20"/>
              </w:rPr>
            </w:pPr>
          </w:p>
        </w:tc>
        <w:tc>
          <w:tcPr>
            <w:tcW w:w="83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ascii="Courier New" w:hAnsi="Courier New" w:cs="宋体"/>
                <w:color w:val="000000"/>
                <w:kern w:val="0"/>
                <w:sz w:val="20"/>
              </w:rPr>
              <w:t>1</w:t>
            </w:r>
          </w:p>
        </w:tc>
        <w:tc>
          <w:tcPr>
            <w:tcW w:w="1827"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药学、药物制剂、临床药学、药剂学</w:t>
            </w:r>
          </w:p>
        </w:tc>
        <w:tc>
          <w:tcPr>
            <w:tcW w:w="1473" w:type="dxa"/>
            <w:vMerge w:val="continue"/>
            <w:tcBorders>
              <w:left w:val="nil"/>
              <w:right w:val="single" w:color="auto" w:sz="4" w:space="0"/>
            </w:tcBorders>
            <w:vAlign w:val="center"/>
          </w:tcPr>
          <w:p>
            <w:pPr>
              <w:spacing w:line="240" w:lineRule="exact"/>
              <w:jc w:val="center"/>
              <w:rPr>
                <w:color w:val="000000"/>
                <w:sz w:val="20"/>
              </w:rPr>
            </w:pPr>
          </w:p>
        </w:tc>
        <w:tc>
          <w:tcPr>
            <w:tcW w:w="804" w:type="dxa"/>
            <w:vMerge w:val="continue"/>
            <w:tcBorders>
              <w:left w:val="nil"/>
              <w:right w:val="single" w:color="auto" w:sz="4" w:space="0"/>
            </w:tcBorders>
            <w:vAlign w:val="center"/>
          </w:tcPr>
          <w:p>
            <w:pPr>
              <w:spacing w:line="240" w:lineRule="exact"/>
              <w:jc w:val="center"/>
              <w:rPr>
                <w:color w:val="000000"/>
                <w:sz w:val="20"/>
              </w:rPr>
            </w:pPr>
          </w:p>
        </w:tc>
        <w:tc>
          <w:tcPr>
            <w:tcW w:w="3887"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需具备药士及以上资格。取得中级职称者，学历可放宽至国民教育专科学历，年龄可放宽至</w:t>
            </w:r>
            <w:r>
              <w:rPr>
                <w:rFonts w:ascii="宋体" w:cs="宋体"/>
                <w:color w:val="000000"/>
                <w:kern w:val="0"/>
                <w:sz w:val="20"/>
              </w:rPr>
              <w:t>40</w:t>
            </w:r>
            <w:r>
              <w:rPr>
                <w:rFonts w:hint="eastAsia" w:ascii="宋体" w:cs="宋体"/>
                <w:color w:val="000000"/>
                <w:kern w:val="0"/>
                <w:sz w:val="20"/>
              </w:rPr>
              <w:t>周岁及以下</w:t>
            </w:r>
          </w:p>
        </w:tc>
        <w:tc>
          <w:tcPr>
            <w:tcW w:w="859"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38" w:hRule="atLeast"/>
        </w:trPr>
        <w:tc>
          <w:tcPr>
            <w:tcW w:w="709" w:type="dxa"/>
            <w:vMerge w:val="continue"/>
            <w:tcBorders>
              <w:left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851" w:type="dxa"/>
            <w:vMerge w:val="continue"/>
            <w:tcBorders>
              <w:left w:val="nil"/>
              <w:right w:val="single" w:color="auto" w:sz="4" w:space="0"/>
            </w:tcBorders>
            <w:vAlign w:val="center"/>
          </w:tcPr>
          <w:p>
            <w:pPr>
              <w:widowControl/>
              <w:spacing w:line="220" w:lineRule="exact"/>
              <w:jc w:val="center"/>
              <w:rPr>
                <w:rFonts w:ascii="宋体" w:cs="宋体"/>
                <w:color w:val="000000"/>
                <w:kern w:val="0"/>
                <w:sz w:val="20"/>
              </w:rPr>
            </w:pP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口腔</w:t>
            </w:r>
          </w:p>
        </w:tc>
        <w:tc>
          <w:tcPr>
            <w:tcW w:w="900" w:type="dxa"/>
            <w:vMerge w:val="continue"/>
            <w:tcBorders>
              <w:left w:val="nil"/>
              <w:right w:val="single" w:color="auto" w:sz="4" w:space="0"/>
            </w:tcBorders>
            <w:vAlign w:val="center"/>
          </w:tcPr>
          <w:p>
            <w:pPr>
              <w:spacing w:line="240" w:lineRule="exact"/>
              <w:jc w:val="center"/>
              <w:rPr>
                <w:rFonts w:ascii="宋体" w:cs="宋体"/>
                <w:color w:val="000000"/>
                <w:kern w:val="0"/>
                <w:sz w:val="20"/>
              </w:rPr>
            </w:pPr>
          </w:p>
        </w:tc>
        <w:tc>
          <w:tcPr>
            <w:tcW w:w="1296" w:type="dxa"/>
            <w:vMerge w:val="continue"/>
            <w:tcBorders>
              <w:left w:val="nil"/>
              <w:right w:val="single" w:color="auto" w:sz="4" w:space="0"/>
            </w:tcBorders>
            <w:vAlign w:val="center"/>
          </w:tcPr>
          <w:p>
            <w:pPr>
              <w:spacing w:line="240" w:lineRule="exact"/>
              <w:jc w:val="center"/>
              <w:rPr>
                <w:rFonts w:ascii="宋体" w:cs="宋体"/>
                <w:color w:val="000000"/>
                <w:kern w:val="0"/>
                <w:sz w:val="20"/>
              </w:rPr>
            </w:pPr>
          </w:p>
        </w:tc>
        <w:tc>
          <w:tcPr>
            <w:tcW w:w="83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ascii="Courier New" w:hAnsi="Courier New" w:cs="宋体"/>
                <w:color w:val="000000"/>
                <w:kern w:val="0"/>
                <w:sz w:val="20"/>
              </w:rPr>
              <w:t>1</w:t>
            </w:r>
          </w:p>
        </w:tc>
        <w:tc>
          <w:tcPr>
            <w:tcW w:w="1827"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口腔医学</w:t>
            </w:r>
          </w:p>
        </w:tc>
        <w:tc>
          <w:tcPr>
            <w:tcW w:w="1473" w:type="dxa"/>
            <w:vMerge w:val="continue"/>
            <w:tcBorders>
              <w:left w:val="nil"/>
              <w:right w:val="single" w:color="auto" w:sz="4" w:space="0"/>
            </w:tcBorders>
            <w:vAlign w:val="center"/>
          </w:tcPr>
          <w:p>
            <w:pPr>
              <w:spacing w:line="240" w:lineRule="exact"/>
              <w:jc w:val="center"/>
              <w:rPr>
                <w:color w:val="000000"/>
                <w:sz w:val="20"/>
              </w:rPr>
            </w:pPr>
          </w:p>
        </w:tc>
        <w:tc>
          <w:tcPr>
            <w:tcW w:w="804" w:type="dxa"/>
            <w:vMerge w:val="continue"/>
            <w:tcBorders>
              <w:left w:val="nil"/>
              <w:right w:val="single" w:color="auto" w:sz="4" w:space="0"/>
            </w:tcBorders>
            <w:vAlign w:val="center"/>
          </w:tcPr>
          <w:p>
            <w:pPr>
              <w:spacing w:line="240" w:lineRule="exact"/>
              <w:jc w:val="center"/>
              <w:rPr>
                <w:color w:val="000000"/>
                <w:sz w:val="20"/>
              </w:rPr>
            </w:pPr>
          </w:p>
        </w:tc>
        <w:tc>
          <w:tcPr>
            <w:tcW w:w="3887" w:type="dxa"/>
            <w:vMerge w:val="restart"/>
            <w:tcBorders>
              <w:top w:val="single" w:color="auto" w:sz="4" w:space="0"/>
              <w:left w:val="nil"/>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需具备执业资格。取得中级职称者，学历可放宽至国民教育专科，年龄可放宽至</w:t>
            </w:r>
            <w:r>
              <w:rPr>
                <w:rFonts w:ascii="宋体" w:cs="宋体"/>
                <w:color w:val="000000"/>
                <w:kern w:val="0"/>
                <w:sz w:val="20"/>
              </w:rPr>
              <w:t>40</w:t>
            </w:r>
            <w:r>
              <w:rPr>
                <w:rFonts w:hint="eastAsia" w:ascii="宋体" w:cs="宋体"/>
                <w:color w:val="000000"/>
                <w:kern w:val="0"/>
                <w:sz w:val="20"/>
              </w:rPr>
              <w:t>周岁及以下</w:t>
            </w:r>
          </w:p>
        </w:tc>
        <w:tc>
          <w:tcPr>
            <w:tcW w:w="859"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38" w:hRule="atLeast"/>
        </w:trPr>
        <w:tc>
          <w:tcPr>
            <w:tcW w:w="709" w:type="dxa"/>
            <w:vMerge w:val="continue"/>
            <w:tcBorders>
              <w:left w:val="single" w:color="auto" w:sz="4" w:space="0"/>
              <w:bottom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851" w:type="dxa"/>
            <w:vMerge w:val="continue"/>
            <w:tcBorders>
              <w:left w:val="nil"/>
              <w:bottom w:val="single" w:color="auto" w:sz="4" w:space="0"/>
              <w:right w:val="single" w:color="auto" w:sz="4" w:space="0"/>
            </w:tcBorders>
            <w:vAlign w:val="center"/>
          </w:tcPr>
          <w:p>
            <w:pPr>
              <w:widowControl/>
              <w:spacing w:line="220" w:lineRule="exact"/>
              <w:jc w:val="center"/>
              <w:rPr>
                <w:rFonts w:ascii="宋体" w:cs="宋体"/>
                <w:color w:val="000000"/>
                <w:kern w:val="0"/>
                <w:sz w:val="20"/>
              </w:rPr>
            </w:pPr>
          </w:p>
        </w:tc>
        <w:tc>
          <w:tcPr>
            <w:tcW w:w="82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临床</w:t>
            </w:r>
          </w:p>
        </w:tc>
        <w:tc>
          <w:tcPr>
            <w:tcW w:w="900" w:type="dxa"/>
            <w:vMerge w:val="continue"/>
            <w:tcBorders>
              <w:left w:val="nil"/>
              <w:bottom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1296" w:type="dxa"/>
            <w:vMerge w:val="continue"/>
            <w:tcBorders>
              <w:left w:val="nil"/>
              <w:bottom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832"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hint="eastAsia" w:ascii="Courier New" w:hAnsi="Courier New" w:cs="宋体"/>
                <w:color w:val="000000"/>
                <w:kern w:val="0"/>
                <w:sz w:val="20"/>
              </w:rPr>
              <w:t>3</w:t>
            </w:r>
          </w:p>
        </w:tc>
        <w:tc>
          <w:tcPr>
            <w:tcW w:w="1827"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临床医学、中西医结合、中西医临床医学</w:t>
            </w:r>
          </w:p>
        </w:tc>
        <w:tc>
          <w:tcPr>
            <w:tcW w:w="1473" w:type="dxa"/>
            <w:vMerge w:val="continue"/>
            <w:tcBorders>
              <w:left w:val="nil"/>
              <w:bottom w:val="single" w:color="auto" w:sz="4" w:space="0"/>
              <w:right w:val="single" w:color="auto" w:sz="4" w:space="0"/>
            </w:tcBorders>
            <w:vAlign w:val="center"/>
          </w:tcPr>
          <w:p>
            <w:pPr>
              <w:spacing w:line="240" w:lineRule="exact"/>
              <w:jc w:val="center"/>
              <w:rPr>
                <w:color w:val="000000"/>
                <w:sz w:val="20"/>
              </w:rPr>
            </w:pPr>
          </w:p>
        </w:tc>
        <w:tc>
          <w:tcPr>
            <w:tcW w:w="804" w:type="dxa"/>
            <w:vMerge w:val="continue"/>
            <w:tcBorders>
              <w:left w:val="nil"/>
              <w:bottom w:val="single" w:color="auto" w:sz="4" w:space="0"/>
              <w:right w:val="single" w:color="auto" w:sz="4" w:space="0"/>
            </w:tcBorders>
            <w:vAlign w:val="center"/>
          </w:tcPr>
          <w:p>
            <w:pPr>
              <w:spacing w:line="240" w:lineRule="exact"/>
              <w:jc w:val="center"/>
              <w:rPr>
                <w:color w:val="000000"/>
                <w:sz w:val="20"/>
              </w:rPr>
            </w:pPr>
          </w:p>
        </w:tc>
        <w:tc>
          <w:tcPr>
            <w:tcW w:w="3887" w:type="dxa"/>
            <w:vMerge w:val="continue"/>
            <w:tcBorders>
              <w:left w:val="nil"/>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p>
        </w:tc>
        <w:tc>
          <w:tcPr>
            <w:tcW w:w="859"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38" w:hRule="atLeast"/>
        </w:trPr>
        <w:tc>
          <w:tcPr>
            <w:tcW w:w="709" w:type="dxa"/>
            <w:vMerge w:val="restart"/>
            <w:tcBorders>
              <w:top w:val="single" w:color="auto" w:sz="4" w:space="0"/>
              <w:left w:val="single" w:color="auto" w:sz="4" w:space="0"/>
              <w:right w:val="single" w:color="auto" w:sz="4" w:space="0"/>
            </w:tcBorders>
            <w:vAlign w:val="center"/>
          </w:tcPr>
          <w:p>
            <w:pPr>
              <w:spacing w:line="240" w:lineRule="exact"/>
              <w:jc w:val="center"/>
              <w:rPr>
                <w:rFonts w:ascii="宋体" w:cs="宋体"/>
                <w:color w:val="000000"/>
                <w:kern w:val="0"/>
                <w:sz w:val="20"/>
              </w:rPr>
            </w:pPr>
            <w:r>
              <w:rPr>
                <w:rFonts w:hint="eastAsia" w:ascii="宋体" w:cs="宋体"/>
                <w:color w:val="000000"/>
                <w:kern w:val="0"/>
                <w:sz w:val="20"/>
              </w:rPr>
              <w:t>县卫生计生委</w:t>
            </w:r>
          </w:p>
        </w:tc>
        <w:tc>
          <w:tcPr>
            <w:tcW w:w="851" w:type="dxa"/>
            <w:vMerge w:val="restart"/>
            <w:tcBorders>
              <w:top w:val="single" w:color="auto" w:sz="4" w:space="0"/>
              <w:left w:val="single" w:color="auto" w:sz="4" w:space="0"/>
              <w:right w:val="single" w:color="auto" w:sz="4" w:space="0"/>
            </w:tcBorders>
            <w:vAlign w:val="center"/>
          </w:tcPr>
          <w:p>
            <w:pPr>
              <w:widowControl/>
              <w:spacing w:line="220" w:lineRule="exact"/>
              <w:jc w:val="center"/>
              <w:rPr>
                <w:rFonts w:ascii="宋体" w:cs="宋体"/>
                <w:color w:val="000000"/>
                <w:kern w:val="0"/>
                <w:sz w:val="20"/>
              </w:rPr>
            </w:pPr>
            <w:r>
              <w:rPr>
                <w:rFonts w:hint="eastAsia" w:ascii="宋体" w:cs="宋体"/>
                <w:color w:val="000000"/>
                <w:kern w:val="0"/>
                <w:sz w:val="20"/>
              </w:rPr>
              <w:t>万安街道社区卫生服务中心</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检验</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color w:val="000000"/>
              </w:rPr>
            </w:pPr>
            <w:r>
              <w:rPr>
                <w:rFonts w:hint="eastAsia" w:ascii="宋体" w:cs="宋体"/>
                <w:color w:val="000000"/>
                <w:kern w:val="0"/>
                <w:sz w:val="20"/>
              </w:rPr>
              <w:t>财政差额</w:t>
            </w:r>
          </w:p>
          <w:p>
            <w:pPr>
              <w:spacing w:line="240" w:lineRule="exact"/>
              <w:jc w:val="center"/>
              <w:rPr>
                <w:rFonts w:ascii="宋体" w:cs="宋体"/>
                <w:color w:val="000000"/>
                <w:kern w:val="0"/>
                <w:sz w:val="20"/>
              </w:rPr>
            </w:pPr>
          </w:p>
        </w:tc>
        <w:tc>
          <w:tcPr>
            <w:tcW w:w="1296"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color w:val="000000"/>
              </w:rPr>
            </w:pPr>
            <w:r>
              <w:rPr>
                <w:rFonts w:hint="eastAsia" w:ascii="宋体" w:cs="宋体"/>
                <w:color w:val="000000"/>
                <w:kern w:val="0"/>
                <w:sz w:val="20"/>
              </w:rPr>
              <w:t>专技12级</w:t>
            </w:r>
          </w:p>
          <w:p>
            <w:pPr>
              <w:spacing w:line="240" w:lineRule="exact"/>
              <w:jc w:val="center"/>
              <w:rPr>
                <w:rFonts w:ascii="宋体" w:cs="宋体"/>
                <w:color w:val="000000"/>
                <w:kern w:val="0"/>
                <w:sz w:val="20"/>
              </w:rPr>
            </w:pPr>
          </w:p>
        </w:tc>
        <w:tc>
          <w:tcPr>
            <w:tcW w:w="83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ascii="Courier New" w:hAnsi="Courier New" w:cs="宋体"/>
                <w:color w:val="000000"/>
                <w:kern w:val="0"/>
                <w:sz w:val="20"/>
              </w:rPr>
              <w:t>1</w:t>
            </w:r>
          </w:p>
        </w:tc>
        <w:tc>
          <w:tcPr>
            <w:tcW w:w="182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医学检验技术、医学检验、医学技术</w:t>
            </w:r>
          </w:p>
        </w:tc>
        <w:tc>
          <w:tcPr>
            <w:tcW w:w="1473"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cs="宋体"/>
                <w:color w:val="000000"/>
                <w:sz w:val="20"/>
              </w:rPr>
            </w:pPr>
            <w:r>
              <w:rPr>
                <w:rFonts w:hint="eastAsia"/>
                <w:color w:val="000000"/>
                <w:sz w:val="20"/>
              </w:rPr>
              <w:t>全日制普通高校本科以上学历及相应学位</w:t>
            </w:r>
          </w:p>
          <w:p>
            <w:pPr>
              <w:spacing w:line="240" w:lineRule="exact"/>
              <w:jc w:val="center"/>
              <w:rPr>
                <w:color w:val="000000"/>
                <w:sz w:val="20"/>
              </w:rPr>
            </w:pPr>
          </w:p>
        </w:tc>
        <w:tc>
          <w:tcPr>
            <w:tcW w:w="804" w:type="dxa"/>
            <w:vMerge w:val="restart"/>
            <w:tcBorders>
              <w:top w:val="single" w:color="auto" w:sz="4" w:space="0"/>
              <w:left w:val="single" w:color="auto" w:sz="4" w:space="0"/>
              <w:right w:val="single" w:color="auto" w:sz="4" w:space="0"/>
            </w:tcBorders>
            <w:vAlign w:val="center"/>
          </w:tcPr>
          <w:p>
            <w:pPr>
              <w:widowControl/>
              <w:spacing w:line="240" w:lineRule="exact"/>
              <w:jc w:val="center"/>
              <w:rPr>
                <w:color w:val="000000"/>
                <w:sz w:val="20"/>
              </w:rPr>
            </w:pPr>
            <w:r>
              <w:rPr>
                <w:color w:val="000000"/>
                <w:sz w:val="20"/>
              </w:rPr>
              <w:t>35</w:t>
            </w:r>
            <w:r>
              <w:rPr>
                <w:rFonts w:hint="eastAsia"/>
                <w:color w:val="000000"/>
                <w:sz w:val="20"/>
              </w:rPr>
              <w:t>周岁及以下</w:t>
            </w:r>
          </w:p>
        </w:tc>
        <w:tc>
          <w:tcPr>
            <w:tcW w:w="388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cs="宋体"/>
                <w:color w:val="000000"/>
                <w:kern w:val="0"/>
                <w:sz w:val="20"/>
              </w:rPr>
            </w:pPr>
            <w:r>
              <w:rPr>
                <w:rFonts w:hint="eastAsia"/>
                <w:color w:val="000000"/>
                <w:sz w:val="20"/>
              </w:rPr>
              <w:t>需具备检验士及以上资格。取得中级职称者，</w:t>
            </w:r>
            <w:r>
              <w:rPr>
                <w:rFonts w:hint="eastAsia" w:ascii="宋体" w:cs="宋体"/>
                <w:color w:val="000000"/>
                <w:kern w:val="0"/>
                <w:sz w:val="20"/>
              </w:rPr>
              <w:t>学历可放宽至国民教育专科，</w:t>
            </w:r>
            <w:r>
              <w:rPr>
                <w:rFonts w:hint="eastAsia"/>
                <w:color w:val="000000"/>
                <w:sz w:val="20"/>
              </w:rPr>
              <w:t>年龄可放宽至</w:t>
            </w:r>
            <w:r>
              <w:rPr>
                <w:color w:val="000000"/>
                <w:sz w:val="20"/>
              </w:rPr>
              <w:t>40</w:t>
            </w:r>
            <w:r>
              <w:rPr>
                <w:rFonts w:hint="eastAsia"/>
                <w:color w:val="000000"/>
                <w:sz w:val="20"/>
              </w:rPr>
              <w:t>周岁及以下</w:t>
            </w:r>
          </w:p>
        </w:tc>
        <w:tc>
          <w:tcPr>
            <w:tcW w:w="8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38" w:hRule="atLeast"/>
        </w:trPr>
        <w:tc>
          <w:tcPr>
            <w:tcW w:w="709" w:type="dxa"/>
            <w:vMerge w:val="continue"/>
            <w:tcBorders>
              <w:left w:val="single" w:color="auto" w:sz="4" w:space="0"/>
              <w:bottom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851" w:type="dxa"/>
            <w:vMerge w:val="continue"/>
            <w:tcBorders>
              <w:left w:val="single" w:color="auto" w:sz="4" w:space="0"/>
              <w:bottom w:val="single" w:color="auto" w:sz="4" w:space="0"/>
              <w:right w:val="single" w:color="auto" w:sz="4" w:space="0"/>
            </w:tcBorders>
            <w:vAlign w:val="center"/>
          </w:tcPr>
          <w:p>
            <w:pPr>
              <w:widowControl/>
              <w:spacing w:line="220" w:lineRule="exact"/>
              <w:jc w:val="center"/>
              <w:rPr>
                <w:rFonts w:ascii="宋体" w:cs="宋体"/>
                <w:color w:val="000000"/>
                <w:kern w:val="0"/>
                <w:sz w:val="20"/>
              </w:rPr>
            </w:pP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临床</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1296"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83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ascii="Courier New" w:hAnsi="Courier New" w:cs="宋体"/>
                <w:color w:val="000000"/>
                <w:kern w:val="0"/>
                <w:sz w:val="20"/>
              </w:rPr>
              <w:t>4</w:t>
            </w:r>
          </w:p>
        </w:tc>
        <w:tc>
          <w:tcPr>
            <w:tcW w:w="182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临床医学、中西医结合、中西医临床医学、内科学、儿科学、妇产科学、外科学、急诊医学</w:t>
            </w:r>
          </w:p>
        </w:tc>
        <w:tc>
          <w:tcPr>
            <w:tcW w:w="1473"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color w:val="000000"/>
                <w:sz w:val="20"/>
              </w:rPr>
            </w:pPr>
          </w:p>
        </w:tc>
        <w:tc>
          <w:tcPr>
            <w:tcW w:w="804"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color w:val="000000"/>
                <w:sz w:val="20"/>
              </w:rPr>
            </w:pPr>
          </w:p>
        </w:tc>
        <w:tc>
          <w:tcPr>
            <w:tcW w:w="388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cs="宋体"/>
                <w:color w:val="000000"/>
                <w:kern w:val="0"/>
                <w:sz w:val="20"/>
              </w:rPr>
            </w:pPr>
            <w:r>
              <w:rPr>
                <w:rFonts w:hint="eastAsia"/>
                <w:color w:val="000000"/>
                <w:sz w:val="20"/>
              </w:rPr>
              <w:t>需具备执业资格。取得中级职称者，</w:t>
            </w:r>
            <w:r>
              <w:rPr>
                <w:rFonts w:hint="eastAsia" w:ascii="宋体" w:cs="宋体"/>
                <w:color w:val="000000"/>
                <w:kern w:val="0"/>
                <w:sz w:val="20"/>
              </w:rPr>
              <w:t>学历可放宽至国民教育专科，</w:t>
            </w:r>
            <w:r>
              <w:rPr>
                <w:rFonts w:hint="eastAsia"/>
                <w:color w:val="000000"/>
                <w:sz w:val="20"/>
              </w:rPr>
              <w:t>年龄可放宽至</w:t>
            </w:r>
            <w:r>
              <w:rPr>
                <w:color w:val="000000"/>
                <w:sz w:val="20"/>
              </w:rPr>
              <w:t>40</w:t>
            </w:r>
            <w:r>
              <w:rPr>
                <w:rFonts w:hint="eastAsia"/>
                <w:color w:val="000000"/>
                <w:sz w:val="20"/>
              </w:rPr>
              <w:t>周岁及以下</w:t>
            </w:r>
          </w:p>
        </w:tc>
        <w:tc>
          <w:tcPr>
            <w:tcW w:w="8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38" w:hRule="atLeast"/>
        </w:trPr>
        <w:tc>
          <w:tcPr>
            <w:tcW w:w="709" w:type="dxa"/>
            <w:vMerge w:val="restart"/>
            <w:tcBorders>
              <w:top w:val="single" w:color="auto" w:sz="4" w:space="0"/>
              <w:left w:val="single" w:color="auto" w:sz="4" w:space="0"/>
              <w:right w:val="single" w:color="auto" w:sz="4" w:space="0"/>
            </w:tcBorders>
            <w:vAlign w:val="center"/>
          </w:tcPr>
          <w:p>
            <w:pPr>
              <w:spacing w:line="240" w:lineRule="exact"/>
              <w:jc w:val="center"/>
              <w:rPr>
                <w:rFonts w:ascii="宋体" w:cs="宋体"/>
                <w:color w:val="000000"/>
                <w:kern w:val="0"/>
                <w:sz w:val="20"/>
              </w:rPr>
            </w:pPr>
            <w:r>
              <w:rPr>
                <w:rFonts w:hint="eastAsia" w:ascii="宋体" w:cs="宋体"/>
                <w:color w:val="000000"/>
                <w:kern w:val="0"/>
                <w:sz w:val="20"/>
              </w:rPr>
              <w:t>县卫生计生委</w:t>
            </w:r>
          </w:p>
        </w:tc>
        <w:tc>
          <w:tcPr>
            <w:tcW w:w="851" w:type="dxa"/>
            <w:vMerge w:val="restart"/>
            <w:tcBorders>
              <w:top w:val="single" w:color="auto" w:sz="4" w:space="0"/>
              <w:left w:val="single" w:color="auto" w:sz="4" w:space="0"/>
              <w:right w:val="single" w:color="auto" w:sz="4" w:space="0"/>
            </w:tcBorders>
            <w:vAlign w:val="center"/>
          </w:tcPr>
          <w:p>
            <w:pPr>
              <w:widowControl/>
              <w:spacing w:line="220" w:lineRule="exact"/>
              <w:jc w:val="center"/>
              <w:rPr>
                <w:rFonts w:ascii="宋体" w:cs="宋体"/>
                <w:color w:val="000000"/>
                <w:kern w:val="0"/>
                <w:sz w:val="20"/>
              </w:rPr>
            </w:pPr>
            <w:r>
              <w:rPr>
                <w:rFonts w:hint="eastAsia" w:ascii="宋体" w:cs="宋体"/>
                <w:color w:val="000000"/>
                <w:kern w:val="0"/>
                <w:sz w:val="20"/>
              </w:rPr>
              <w:t>黄水镇中心卫生院</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临床1</w:t>
            </w:r>
          </w:p>
        </w:tc>
        <w:tc>
          <w:tcPr>
            <w:tcW w:w="900" w:type="dxa"/>
            <w:vMerge w:val="restart"/>
            <w:tcBorders>
              <w:top w:val="single" w:color="auto" w:sz="4" w:space="0"/>
              <w:left w:val="single" w:color="auto" w:sz="4" w:space="0"/>
              <w:right w:val="single" w:color="auto" w:sz="4" w:space="0"/>
            </w:tcBorders>
            <w:vAlign w:val="center"/>
          </w:tcPr>
          <w:p>
            <w:pPr>
              <w:spacing w:line="240" w:lineRule="exact"/>
              <w:jc w:val="center"/>
              <w:rPr>
                <w:color w:val="000000"/>
              </w:rPr>
            </w:pPr>
            <w:r>
              <w:rPr>
                <w:rFonts w:hint="eastAsia" w:ascii="宋体" w:cs="宋体"/>
                <w:color w:val="000000"/>
                <w:kern w:val="0"/>
                <w:sz w:val="20"/>
              </w:rPr>
              <w:t>财政差额</w:t>
            </w:r>
          </w:p>
          <w:p>
            <w:pPr>
              <w:tabs>
                <w:tab w:val="left" w:pos="315"/>
              </w:tabs>
              <w:spacing w:line="240" w:lineRule="exact"/>
              <w:jc w:val="left"/>
              <w:rPr>
                <w:rFonts w:ascii="宋体" w:cs="宋体"/>
                <w:color w:val="000000"/>
                <w:kern w:val="0"/>
                <w:sz w:val="20"/>
              </w:rPr>
            </w:pPr>
          </w:p>
        </w:tc>
        <w:tc>
          <w:tcPr>
            <w:tcW w:w="1296" w:type="dxa"/>
            <w:vMerge w:val="restart"/>
            <w:tcBorders>
              <w:top w:val="single" w:color="auto" w:sz="4" w:space="0"/>
              <w:left w:val="single" w:color="auto" w:sz="4" w:space="0"/>
              <w:right w:val="single" w:color="auto" w:sz="4" w:space="0"/>
            </w:tcBorders>
            <w:vAlign w:val="center"/>
          </w:tcPr>
          <w:p>
            <w:pPr>
              <w:spacing w:line="240" w:lineRule="exact"/>
              <w:jc w:val="center"/>
              <w:rPr>
                <w:rFonts w:ascii="宋体" w:cs="宋体"/>
                <w:color w:val="000000"/>
                <w:kern w:val="0"/>
                <w:sz w:val="20"/>
              </w:rPr>
            </w:pPr>
            <w:r>
              <w:rPr>
                <w:rFonts w:hint="eastAsia" w:ascii="宋体" w:cs="宋体"/>
                <w:color w:val="000000"/>
                <w:kern w:val="0"/>
                <w:sz w:val="20"/>
              </w:rPr>
              <w:t>专技12级</w:t>
            </w:r>
          </w:p>
        </w:tc>
        <w:tc>
          <w:tcPr>
            <w:tcW w:w="83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hint="eastAsia" w:ascii="Courier New" w:hAnsi="Courier New" w:cs="宋体"/>
                <w:color w:val="000000"/>
                <w:kern w:val="0"/>
                <w:sz w:val="20"/>
              </w:rPr>
              <w:t>1</w:t>
            </w:r>
          </w:p>
        </w:tc>
        <w:tc>
          <w:tcPr>
            <w:tcW w:w="182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临床医学、外科学、急诊医学、内科学、儿科医学、儿科学、妇产科学</w:t>
            </w:r>
          </w:p>
        </w:tc>
        <w:tc>
          <w:tcPr>
            <w:tcW w:w="1473" w:type="dxa"/>
            <w:vMerge w:val="restart"/>
            <w:tcBorders>
              <w:top w:val="single" w:color="auto" w:sz="4" w:space="0"/>
              <w:left w:val="single" w:color="auto" w:sz="4" w:space="0"/>
              <w:right w:val="single" w:color="auto" w:sz="4" w:space="0"/>
            </w:tcBorders>
            <w:vAlign w:val="center"/>
          </w:tcPr>
          <w:p>
            <w:pPr>
              <w:spacing w:line="240" w:lineRule="exact"/>
              <w:jc w:val="center"/>
              <w:rPr>
                <w:rFonts w:ascii="宋体" w:cs="宋体"/>
                <w:color w:val="000000"/>
                <w:sz w:val="20"/>
              </w:rPr>
            </w:pPr>
            <w:r>
              <w:rPr>
                <w:rFonts w:hint="eastAsia"/>
                <w:color w:val="000000"/>
                <w:sz w:val="20"/>
              </w:rPr>
              <w:t>全日制普通高校本科以上学历及相应学位</w:t>
            </w:r>
          </w:p>
          <w:p>
            <w:pPr>
              <w:spacing w:line="240" w:lineRule="exact"/>
              <w:jc w:val="center"/>
              <w:rPr>
                <w:color w:val="000000"/>
                <w:sz w:val="20"/>
              </w:rPr>
            </w:pPr>
          </w:p>
        </w:tc>
        <w:tc>
          <w:tcPr>
            <w:tcW w:w="804" w:type="dxa"/>
            <w:vMerge w:val="restart"/>
            <w:tcBorders>
              <w:top w:val="single" w:color="auto" w:sz="4" w:space="0"/>
              <w:left w:val="single" w:color="auto" w:sz="4" w:space="0"/>
              <w:right w:val="single" w:color="auto" w:sz="4" w:space="0"/>
            </w:tcBorders>
            <w:vAlign w:val="center"/>
          </w:tcPr>
          <w:p>
            <w:pPr>
              <w:spacing w:line="240" w:lineRule="exact"/>
              <w:jc w:val="center"/>
              <w:rPr>
                <w:color w:val="000000"/>
                <w:sz w:val="20"/>
              </w:rPr>
            </w:pPr>
            <w:r>
              <w:rPr>
                <w:color w:val="000000"/>
                <w:sz w:val="20"/>
              </w:rPr>
              <w:t>35</w:t>
            </w:r>
            <w:r>
              <w:rPr>
                <w:rFonts w:hint="eastAsia"/>
                <w:color w:val="000000"/>
                <w:sz w:val="20"/>
              </w:rPr>
              <w:t>周岁及以下</w:t>
            </w:r>
          </w:p>
        </w:tc>
        <w:tc>
          <w:tcPr>
            <w:tcW w:w="388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需具备执业医师资格</w:t>
            </w:r>
          </w:p>
        </w:tc>
        <w:tc>
          <w:tcPr>
            <w:tcW w:w="8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38" w:hRule="atLeast"/>
        </w:trPr>
        <w:tc>
          <w:tcPr>
            <w:tcW w:w="709" w:type="dxa"/>
            <w:vMerge w:val="continue"/>
            <w:tcBorders>
              <w:left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851" w:type="dxa"/>
            <w:vMerge w:val="continue"/>
            <w:tcBorders>
              <w:left w:val="single" w:color="auto" w:sz="4" w:space="0"/>
              <w:right w:val="single" w:color="auto" w:sz="4" w:space="0"/>
            </w:tcBorders>
            <w:vAlign w:val="center"/>
          </w:tcPr>
          <w:p>
            <w:pPr>
              <w:widowControl/>
              <w:spacing w:line="220" w:lineRule="exact"/>
              <w:jc w:val="center"/>
              <w:rPr>
                <w:rFonts w:ascii="宋体" w:cs="宋体"/>
                <w:color w:val="000000"/>
                <w:kern w:val="0"/>
                <w:sz w:val="20"/>
              </w:rPr>
            </w:pP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临床2</w:t>
            </w:r>
          </w:p>
        </w:tc>
        <w:tc>
          <w:tcPr>
            <w:tcW w:w="900" w:type="dxa"/>
            <w:vMerge w:val="continue"/>
            <w:tcBorders>
              <w:left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1296" w:type="dxa"/>
            <w:vMerge w:val="continue"/>
            <w:tcBorders>
              <w:left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83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hint="eastAsia" w:ascii="Courier New" w:hAnsi="Courier New" w:cs="宋体"/>
                <w:color w:val="000000"/>
                <w:kern w:val="0"/>
                <w:sz w:val="20"/>
              </w:rPr>
              <w:t>1</w:t>
            </w:r>
          </w:p>
        </w:tc>
        <w:tc>
          <w:tcPr>
            <w:tcW w:w="182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临床医学（妇产科方向）、妇产科学</w:t>
            </w:r>
          </w:p>
        </w:tc>
        <w:tc>
          <w:tcPr>
            <w:tcW w:w="1473" w:type="dxa"/>
            <w:vMerge w:val="continue"/>
            <w:tcBorders>
              <w:left w:val="single" w:color="auto" w:sz="4" w:space="0"/>
              <w:right w:val="single" w:color="auto" w:sz="4" w:space="0"/>
            </w:tcBorders>
            <w:vAlign w:val="center"/>
          </w:tcPr>
          <w:p>
            <w:pPr>
              <w:spacing w:line="240" w:lineRule="exact"/>
              <w:jc w:val="center"/>
              <w:rPr>
                <w:color w:val="000000"/>
                <w:sz w:val="20"/>
              </w:rPr>
            </w:pPr>
          </w:p>
        </w:tc>
        <w:tc>
          <w:tcPr>
            <w:tcW w:w="804" w:type="dxa"/>
            <w:vMerge w:val="continue"/>
            <w:tcBorders>
              <w:left w:val="single" w:color="auto" w:sz="4" w:space="0"/>
              <w:right w:val="single" w:color="auto" w:sz="4" w:space="0"/>
            </w:tcBorders>
            <w:vAlign w:val="center"/>
          </w:tcPr>
          <w:p>
            <w:pPr>
              <w:spacing w:line="240" w:lineRule="exact"/>
              <w:jc w:val="center"/>
              <w:rPr>
                <w:color w:val="000000"/>
                <w:sz w:val="20"/>
              </w:rPr>
            </w:pPr>
          </w:p>
        </w:tc>
        <w:tc>
          <w:tcPr>
            <w:tcW w:w="388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需具备执业医师资格</w:t>
            </w:r>
          </w:p>
        </w:tc>
        <w:tc>
          <w:tcPr>
            <w:tcW w:w="8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rPr>
            </w:pPr>
          </w:p>
        </w:tc>
      </w:tr>
      <w:tr>
        <w:tblPrEx>
          <w:tblBorders>
            <w:top w:val="none" w:color="auto" w:sz="0"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38" w:hRule="atLeast"/>
        </w:trPr>
        <w:tc>
          <w:tcPr>
            <w:tcW w:w="709" w:type="dxa"/>
            <w:vMerge w:val="continue"/>
            <w:tcBorders>
              <w:left w:val="single" w:color="auto" w:sz="4" w:space="0"/>
              <w:bottom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851" w:type="dxa"/>
            <w:vMerge w:val="continue"/>
            <w:tcBorders>
              <w:left w:val="single" w:color="auto" w:sz="4" w:space="0"/>
              <w:bottom w:val="single" w:color="auto" w:sz="4" w:space="0"/>
              <w:right w:val="single" w:color="auto" w:sz="4" w:space="0"/>
            </w:tcBorders>
            <w:vAlign w:val="center"/>
          </w:tcPr>
          <w:p>
            <w:pPr>
              <w:widowControl/>
              <w:spacing w:line="220" w:lineRule="exact"/>
              <w:jc w:val="center"/>
              <w:rPr>
                <w:rFonts w:ascii="宋体" w:cs="宋体"/>
                <w:color w:val="000000"/>
                <w:kern w:val="0"/>
                <w:sz w:val="20"/>
              </w:rPr>
            </w:pP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影像</w:t>
            </w:r>
          </w:p>
        </w:tc>
        <w:tc>
          <w:tcPr>
            <w:tcW w:w="900" w:type="dxa"/>
            <w:vMerge w:val="continue"/>
            <w:tcBorders>
              <w:left w:val="single" w:color="auto" w:sz="4" w:space="0"/>
              <w:bottom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1296" w:type="dxa"/>
            <w:vMerge w:val="continue"/>
            <w:tcBorders>
              <w:left w:val="single" w:color="auto" w:sz="4" w:space="0"/>
              <w:bottom w:val="single" w:color="auto" w:sz="4" w:space="0"/>
              <w:right w:val="single" w:color="auto" w:sz="4" w:space="0"/>
            </w:tcBorders>
            <w:vAlign w:val="center"/>
          </w:tcPr>
          <w:p>
            <w:pPr>
              <w:spacing w:line="240" w:lineRule="exact"/>
              <w:jc w:val="center"/>
              <w:rPr>
                <w:rFonts w:ascii="宋体" w:cs="宋体"/>
                <w:color w:val="000000"/>
                <w:kern w:val="0"/>
                <w:sz w:val="20"/>
              </w:rPr>
            </w:pPr>
          </w:p>
        </w:tc>
        <w:tc>
          <w:tcPr>
            <w:tcW w:w="83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Courier New" w:hAnsi="Courier New" w:cs="宋体"/>
                <w:color w:val="000000"/>
                <w:kern w:val="0"/>
                <w:sz w:val="20"/>
              </w:rPr>
            </w:pPr>
            <w:r>
              <w:rPr>
                <w:rFonts w:hint="eastAsia" w:ascii="Courier New" w:hAnsi="Courier New" w:cs="宋体"/>
                <w:color w:val="000000"/>
                <w:kern w:val="0"/>
                <w:sz w:val="20"/>
              </w:rPr>
              <w:t>1</w:t>
            </w:r>
          </w:p>
        </w:tc>
        <w:tc>
          <w:tcPr>
            <w:tcW w:w="182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医学影像学、影像医学与核医学</w:t>
            </w:r>
          </w:p>
        </w:tc>
        <w:tc>
          <w:tcPr>
            <w:tcW w:w="1473" w:type="dxa"/>
            <w:vMerge w:val="continue"/>
            <w:tcBorders>
              <w:left w:val="single" w:color="auto" w:sz="4" w:space="0"/>
              <w:bottom w:val="single" w:color="auto" w:sz="4" w:space="0"/>
              <w:right w:val="single" w:color="auto" w:sz="4" w:space="0"/>
            </w:tcBorders>
            <w:vAlign w:val="center"/>
          </w:tcPr>
          <w:p>
            <w:pPr>
              <w:spacing w:line="240" w:lineRule="exact"/>
              <w:jc w:val="center"/>
              <w:rPr>
                <w:color w:val="000000"/>
                <w:sz w:val="20"/>
              </w:rPr>
            </w:pPr>
          </w:p>
        </w:tc>
        <w:tc>
          <w:tcPr>
            <w:tcW w:w="804" w:type="dxa"/>
            <w:vMerge w:val="continue"/>
            <w:tcBorders>
              <w:left w:val="single" w:color="auto" w:sz="4" w:space="0"/>
              <w:bottom w:val="single" w:color="auto" w:sz="4" w:space="0"/>
              <w:right w:val="single" w:color="auto" w:sz="4" w:space="0"/>
            </w:tcBorders>
            <w:vAlign w:val="center"/>
          </w:tcPr>
          <w:p>
            <w:pPr>
              <w:spacing w:line="240" w:lineRule="exact"/>
              <w:jc w:val="center"/>
              <w:rPr>
                <w:color w:val="000000"/>
                <w:sz w:val="20"/>
              </w:rPr>
            </w:pPr>
          </w:p>
        </w:tc>
        <w:tc>
          <w:tcPr>
            <w:tcW w:w="388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 w:val="20"/>
              </w:rPr>
            </w:pPr>
            <w:r>
              <w:rPr>
                <w:rFonts w:hint="eastAsia" w:ascii="宋体" w:cs="宋体"/>
                <w:color w:val="000000"/>
                <w:kern w:val="0"/>
                <w:sz w:val="20"/>
              </w:rPr>
              <w:t>需具备执业医师资格</w:t>
            </w:r>
          </w:p>
        </w:tc>
        <w:tc>
          <w:tcPr>
            <w:tcW w:w="8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rPr>
            </w:pPr>
          </w:p>
        </w:tc>
      </w:tr>
    </w:tbl>
    <w:p/>
    <w:sectPr>
      <w:pgSz w:w="16838" w:h="11906" w:orient="landscape"/>
      <w:pgMar w:top="1587" w:right="2098" w:bottom="1474" w:left="1984" w:header="851" w:footer="992" w:gutter="0"/>
      <w:cols w:space="720" w:num="1"/>
      <w:docGrid w:type="lines" w:linePitch="49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decorative"/>
    <w:pitch w:val="default"/>
    <w:sig w:usb0="00000000" w:usb1="00000000" w:usb2="00000000" w:usb3="00000000" w:csb0="00040000" w:csb1="00000000"/>
  </w:font>
  <w:font w:name="方正仿宋_GBK">
    <w:altName w:val="微软雅黑"/>
    <w:panose1 w:val="00000000000000000000"/>
    <w:charset w:val="86"/>
    <w:family w:val="script"/>
    <w:pitch w:val="default"/>
    <w:sig w:usb0="00000000" w:usb1="00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17A3"/>
    <w:rsid w:val="00016999"/>
    <w:rsid w:val="00632069"/>
    <w:rsid w:val="00892AEF"/>
    <w:rsid w:val="00907D8C"/>
    <w:rsid w:val="00A24F7C"/>
    <w:rsid w:val="00B117A3"/>
    <w:rsid w:val="00B221D3"/>
    <w:rsid w:val="203276F8"/>
    <w:rsid w:val="30E16798"/>
    <w:rsid w:val="56E82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 w:type="paragraph" w:customStyle="1" w:styleId="8">
    <w:name w:val="Char Char Char Char Char Char Char"/>
    <w:basedOn w:val="1"/>
    <w:qFormat/>
    <w:uiPriority w:val="0"/>
    <w:pPr>
      <w:widowControl/>
      <w:spacing w:after="160" w:line="240" w:lineRule="exact"/>
      <w:jc w:val="left"/>
    </w:pPr>
    <w:rPr>
      <w:rFonts w:eastAsia="方正仿宋_GBK"/>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252</Words>
  <Characters>1440</Characters>
  <Lines>12</Lines>
  <Paragraphs>3</Paragraphs>
  <ScaleCrop>false</ScaleCrop>
  <LinksUpToDate>false</LinksUpToDate>
  <CharactersWithSpaces>1689</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2018-05-09T03:57:00Z</dcterms:created>
  <dc:creator>hp2806100</dc:creator>
  <cp:lastModifiedBy>Administrator</cp:lastModifiedBy>
  <dcterms:modified xsi:type="dcterms:W3CDTF">2018-05-14T02:21:46Z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