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ascii="����" w:hAnsi="����" w:eastAsia="����" w:cs="����"/>
          <w:b w:val="0"/>
          <w:i w:val="0"/>
          <w:caps w:val="0"/>
          <w:color w:val="1F1F1F"/>
          <w:spacing w:val="0"/>
          <w:sz w:val="16"/>
          <w:szCs w:val="16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建三江人民医院医务人员招聘岗位表</w:t>
      </w:r>
    </w:p>
    <w:tbl>
      <w:tblPr>
        <w:tblW w:w="87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9"/>
        <w:gridCol w:w="2760"/>
        <w:gridCol w:w="1635"/>
        <w:gridCol w:w="29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需求专业</w:t>
            </w:r>
          </w:p>
        </w:tc>
        <w:tc>
          <w:tcPr>
            <w:tcW w:w="2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工作岗位</w:t>
            </w:r>
          </w:p>
        </w:tc>
        <w:tc>
          <w:tcPr>
            <w:tcW w:w="1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需求人数</w:t>
            </w:r>
          </w:p>
        </w:tc>
        <w:tc>
          <w:tcPr>
            <w:tcW w:w="29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12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老年病科、皮肤性病科、消化内科、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儿科、普外科、肿瘤科、急诊科、心电室等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9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本专业第一学历本科二表及以上；已经取得规培证书的人员条件可放宽至第一学历本科及以上。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物理诊断科、医学影像科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病理或医学检验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病理科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本专业第一学历本科二表及以上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4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kern w:val="0"/>
                <w:sz w:val="24"/>
                <w:szCs w:val="24"/>
                <w:lang w:val="en-US" w:eastAsia="zh-CN" w:bidi="ar"/>
              </w:rPr>
              <w:t>麻醉科、疼痛科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1F1F1F"/>
          <w:spacing w:val="0"/>
          <w:sz w:val="16"/>
          <w:szCs w:val="16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注：医院有权根据工作实际需要对报考的岗位进行调整。如果所需专业未招满可根据医院实际从其他专业中补录。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1261A"/>
    <w:rsid w:val="0DD126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2018-04-20T10:49:00Z</dcterms:created>
  <dc:creator>O_o放下那份脆弱</dc:creator>
  <cp:lastModifiedBy>O_o放下那份脆弱</cp:lastModifiedBy>
  <dcterms:modified xsi:type="dcterms:W3CDTF">2018-04-20T10:49:53Z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