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</w:rPr>
        <w:t>岗位及条件</w:t>
      </w:r>
    </w:p>
    <w:tbl>
      <w:tblPr>
        <w:tblW w:w="9055" w:type="dxa"/>
        <w:jc w:val="center"/>
        <w:tblInd w:w="26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6"/>
        <w:gridCol w:w="2197"/>
        <w:gridCol w:w="1361"/>
        <w:gridCol w:w="2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rightChars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rightChars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学历或职称要求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rightChars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计划人数</w:t>
            </w:r>
          </w:p>
        </w:tc>
        <w:tc>
          <w:tcPr>
            <w:tcW w:w="2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560" w:lineRule="exact"/>
              <w:ind w:left="0" w:right="0" w:rightChars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专业及需求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管理类、计算机类相关专业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教学、科研管理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中医学类、中西医结合类、药学类、中药学类、管理类相关专业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E2EFD"/>
    <w:rsid w:val="730E2E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2018-03-20T12:16:00Z</dcterms:created>
  <dc:creator>ASUS</dc:creator>
  <cp:lastModifiedBy>ASUS</cp:lastModifiedBy>
  <dcterms:modified xsi:type="dcterms:W3CDTF">2018-03-20T12:16:21Z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