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21"/>
          <w:szCs w:val="21"/>
        </w:rPr>
        <w:t>附件2</w:t>
      </w:r>
    </w:p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sz w:val="21"/>
          <w:szCs w:val="21"/>
        </w:rPr>
        <w:t>集中注册时间安排表</w:t>
      </w:r>
    </w:p>
    <w:bookmarkEnd w:id="0"/>
    <w:tbl>
      <w:tblPr>
        <w:tblpPr w:vertAnchor="text" w:tblpXSpec="left"/>
        <w:tblW w:w="85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22"/>
        <w:gridCol w:w="958"/>
        <w:gridCol w:w="47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2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Calibri" w:hAnsi="Calibri" w:eastAsia="����" w:cs="Calibri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Calibri" w:hAnsi="Calibri" w:eastAsia="����" w:cs="Calibri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全天</w:t>
            </w:r>
          </w:p>
        </w:tc>
        <w:tc>
          <w:tcPr>
            <w:tcW w:w="4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济宁市精神病防治院、市直机关医院、市疾控中心、市中心血站、市皮肤病防治院、市结核病防治所、山东省医科院第三附属医院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00"/>
              <w:jc w:val="left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全天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市传染病医院、市妇幼保健院、市中医院、兖矿集团有限公司总医院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全天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高新区、太白湖新区、经开区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2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700"/>
              <w:jc w:val="left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兖州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����" w:hAnsi="����" w:eastAsia="����" w:cs="����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曲阜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泗水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����" w:hAnsi="����" w:eastAsia="����" w:cs="����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邹城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微山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����" w:hAnsi="����" w:eastAsia="����" w:cs="����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鱼台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����" w:hAnsi="����" w:eastAsia="����" w:cs="����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汶上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����" w:cs="Calibri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梁山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����" w:hAnsi="����" w:eastAsia="����" w:cs="����"/>
                <w:caps w:val="0"/>
                <w:color w:val="444444"/>
                <w:spacing w:val="0"/>
                <w:sz w:val="18"/>
                <w:szCs w:val="18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嘉祥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全天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任城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2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~12</w:t>
            </w:r>
            <w:r>
              <w:rPr>
                <w:rFonts w:hint="default" w:ascii="仿宋_GB2312" w:hAnsi="Times New Roman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default" w:ascii="仿宋_GB2312" w:hAnsi="Times New Roman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两天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济宁市第一人民医院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����" w:cs="Times New Roman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全天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����" w:eastAsia="仿宋_GB2312" w:cs="仿宋_GB2312"/>
                <w:caps w:val="0"/>
                <w:color w:val="44444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补齐材料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1A47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2017-11-28T08:16:13Z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