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附件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内科住院医师培训细则(感染科)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 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    内科学是一门涉及面广、整体性强的临床医学，它与临床各科关系密切，更是临床各科的基础。内科学研究的范围包括呼吸、循环、消化、泌尿、血液、内分泌、感染、神经、老年医学等系统的疾病和代谢、营养、结缔组织、关节、理化因素及精神等方面的疾病。培训期间按要求，实行有计划的轮转和理论学习，牢固地掌握基础理论、基本知识、基本技能，学会科研基本方法和技术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一、培训目标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本阶段为二级学科基础培训，培训期间住院医师不确定专业。培训目的是使住院医师打好内科临床工作基础。要求能准确询问病史；认真、客观地书写病历；进行全面体格检查；熟悉各轮转科室诊疗常规（包括诊疗技术），基本掌握内科常见疾病的诊断和处理，具有一定临床科研能力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二、培训方法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在内科范围内的各三级学科（专业）及其他相关科室轮转。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（一）必选的轮转科室及时间</w:t>
      </w: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br/>
        <w:t>             三年制（必选科室32 个月+可选科室4 个月）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371"/>
        <w:gridCol w:w="2804"/>
      </w:tblGrid>
      <w:tr w:rsidR="00EE6102" w:rsidRPr="00EE6102" w:rsidTr="00EE6102">
        <w:tc>
          <w:tcPr>
            <w:tcW w:w="3371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 时间（月）</w:t>
            </w:r>
          </w:p>
        </w:tc>
        <w:tc>
          <w:tcPr>
            <w:tcW w:w="280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 时间（月）</w:t>
            </w:r>
          </w:p>
        </w:tc>
      </w:tr>
      <w:tr w:rsidR="00EE6102" w:rsidRPr="00EE6102" w:rsidTr="00EE6102">
        <w:tc>
          <w:tcPr>
            <w:tcW w:w="3371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心血管内科（含心电图室）4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呼吸内科3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消化内科3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医学影像科（含超声和核医学室）3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急诊科（重症监护病房）3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感染科2</w:t>
            </w:r>
          </w:p>
        </w:tc>
        <w:tc>
          <w:tcPr>
            <w:tcW w:w="280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肾脏内科3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血液科3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内分泌代谢科3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神经内科3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老年科2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t>二年制（必选科室22 个月+可选科室2 个月）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371"/>
        <w:gridCol w:w="2815"/>
      </w:tblGrid>
      <w:tr w:rsidR="00EE6102" w:rsidRPr="00EE6102" w:rsidTr="00EE6102">
        <w:tc>
          <w:tcPr>
            <w:tcW w:w="3371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 时间（月）</w:t>
            </w:r>
          </w:p>
        </w:tc>
        <w:tc>
          <w:tcPr>
            <w:tcW w:w="281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 时间（月）</w:t>
            </w:r>
          </w:p>
        </w:tc>
      </w:tr>
      <w:tr w:rsidR="00EE6102" w:rsidRPr="00EE6102" w:rsidTr="00EE6102">
        <w:tc>
          <w:tcPr>
            <w:tcW w:w="3371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心血管内科（含心电图室） 3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呼吸内科2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消化内科2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医学影像科（含超声和核医学室）2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急诊科（重症监护病房）2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感染科1</w:t>
            </w:r>
          </w:p>
        </w:tc>
        <w:tc>
          <w:tcPr>
            <w:tcW w:w="281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肾脏内科2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血液科2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内分泌代谢科2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神经内科2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老年科2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t>一年制（必选科室11.5 个月+机动0.5 个月）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371"/>
        <w:gridCol w:w="2815"/>
      </w:tblGrid>
      <w:tr w:rsidR="00EE6102" w:rsidRPr="00EE6102" w:rsidTr="00EE6102">
        <w:tc>
          <w:tcPr>
            <w:tcW w:w="3371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 时间（月）</w:t>
            </w:r>
          </w:p>
        </w:tc>
        <w:tc>
          <w:tcPr>
            <w:tcW w:w="281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 时间（月）</w:t>
            </w:r>
          </w:p>
        </w:tc>
      </w:tr>
      <w:tr w:rsidR="00EE6102" w:rsidRPr="00EE6102" w:rsidTr="00EE6102">
        <w:tc>
          <w:tcPr>
            <w:tcW w:w="3371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心血管内科（含心电图室）2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呼吸内科1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消化内科1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医学影像科（含超声和核医学室）1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急诊科（重症监护病房）1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感染科0.5</w:t>
            </w:r>
          </w:p>
        </w:tc>
        <w:tc>
          <w:tcPr>
            <w:tcW w:w="281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肾脏内科1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血液科1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内分泌代谢科1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神经内科1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老年科1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t>(二)可选择的轮转科室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207"/>
        <w:gridCol w:w="2967"/>
      </w:tblGrid>
      <w:tr w:rsidR="00EE6102" w:rsidRPr="00EE6102" w:rsidTr="00EE6102">
        <w:tc>
          <w:tcPr>
            <w:tcW w:w="320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</w:t>
            </w:r>
          </w:p>
        </w:tc>
        <w:tc>
          <w:tcPr>
            <w:tcW w:w="296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科 室</w:t>
            </w:r>
          </w:p>
        </w:tc>
      </w:tr>
      <w:tr w:rsidR="00EE6102" w:rsidRPr="00EE6102" w:rsidTr="00EE6102">
        <w:tc>
          <w:tcPr>
            <w:tcW w:w="320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风湿免疫科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lastRenderedPageBreak/>
              <w:t>精神科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普外科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皮肤科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妇产科</w:t>
            </w:r>
          </w:p>
        </w:tc>
        <w:tc>
          <w:tcPr>
            <w:tcW w:w="296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lastRenderedPageBreak/>
              <w:t>麻醉科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lastRenderedPageBreak/>
              <w:t>肿瘤内科（含放疗科）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社区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病理医学科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临床检验科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lastRenderedPageBreak/>
        <w:t>(三)住院医师规范化培训社区实践培训计划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207"/>
        <w:gridCol w:w="2956"/>
      </w:tblGrid>
      <w:tr w:rsidR="00EE6102" w:rsidRPr="00EE6102" w:rsidTr="00EE6102">
        <w:trPr>
          <w:trHeight w:val="338"/>
        </w:trPr>
        <w:tc>
          <w:tcPr>
            <w:tcW w:w="320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轮 转 科 室</w:t>
            </w:r>
          </w:p>
        </w:tc>
        <w:tc>
          <w:tcPr>
            <w:tcW w:w="295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轮 转 时 间</w:t>
            </w:r>
          </w:p>
        </w:tc>
      </w:tr>
      <w:tr w:rsidR="00EE6102" w:rsidRPr="00EE6102" w:rsidTr="00EE6102">
        <w:tc>
          <w:tcPr>
            <w:tcW w:w="320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220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全科门诊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中心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康复及中医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站点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220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慢性病管理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传染病管理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健康教育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健康管理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家庭病床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全科病房（老年护理院）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儿童保健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计划免疫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妇幼保健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合计</w:t>
            </w:r>
          </w:p>
        </w:tc>
        <w:tc>
          <w:tcPr>
            <w:tcW w:w="2956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33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12周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8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2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2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330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2 周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1 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1 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1 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2 周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2 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1 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1 周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1 周</w:t>
            </w: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br/>
              <w:t>24 周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640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注：以上安排可根据本学科的情况进行微调。</w:t>
      </w:r>
    </w:p>
    <w:p w:rsidR="00EE6102" w:rsidRPr="00EE6102" w:rsidRDefault="00EE6102" w:rsidP="00EE6102">
      <w:pPr>
        <w:widowControl/>
        <w:spacing w:line="305" w:lineRule="atLeast"/>
        <w:ind w:left="640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    三、培训内容与要求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t>1.轮转目标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掌握：感染科常见疾病的病原学、流行病学、临床表现、诊断、鉴别诊断、实验室检查和处理；临床常用抗感染药物的选择、合理使用原则、方法；临床常用抗肝炎病毒药物的适应症和禁忌症；感染科常用临床操作技能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熟悉：传染病的预防和临床消毒隔离技术的原则、方法和要求，消毒隔离的程序及职业暴露后处置；重型肝炎的临床经过、诊断、鉴别诊断、治疗原则；败血症与感染性休克的处理原则。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了解：常见病原体实验室检查手段和方法。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t>2.基本要求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（1）学习病种要求</w:t>
      </w:r>
    </w:p>
    <w:tbl>
      <w:tblPr>
        <w:tblW w:w="6131" w:type="dxa"/>
        <w:tblCellMar>
          <w:left w:w="0" w:type="dxa"/>
          <w:right w:w="0" w:type="dxa"/>
        </w:tblCellMar>
        <w:tblLook w:val="04A0"/>
      </w:tblPr>
      <w:tblGrid>
        <w:gridCol w:w="3426"/>
        <w:gridCol w:w="2705"/>
      </w:tblGrid>
      <w:tr w:rsidR="00EE6102" w:rsidRPr="00EE6102" w:rsidTr="00EE6102">
        <w:tc>
          <w:tcPr>
            <w:tcW w:w="342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5"/>
              </w:rPr>
              <w:t>病    种</w:t>
            </w:r>
          </w:p>
        </w:tc>
        <w:tc>
          <w:tcPr>
            <w:tcW w:w="270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5"/>
              </w:rPr>
              <w:t>例数（≥）</w:t>
            </w:r>
          </w:p>
        </w:tc>
      </w:tr>
      <w:tr w:rsidR="00EE6102" w:rsidRPr="00EE6102" w:rsidTr="00EE6102">
        <w:tc>
          <w:tcPr>
            <w:tcW w:w="342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9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发热待查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病毒性肝炎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结核：肺结核、肺外结核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深部真菌感染</w:t>
            </w:r>
          </w:p>
        </w:tc>
        <w:tc>
          <w:tcPr>
            <w:tcW w:w="270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3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10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5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3</w:t>
            </w:r>
          </w:p>
        </w:tc>
      </w:tr>
      <w:tr w:rsidR="00EE6102" w:rsidRPr="00EE6102" w:rsidTr="00EE6102">
        <w:trPr>
          <w:trHeight w:val="98"/>
        </w:trPr>
        <w:tc>
          <w:tcPr>
            <w:tcW w:w="342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败血症/感染性休克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细菌性痢疾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细菌性食物中毒 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中枢性神经系统感染</w:t>
            </w:r>
          </w:p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艾滋病(HIV/AIDS)</w:t>
            </w:r>
          </w:p>
        </w:tc>
        <w:tc>
          <w:tcPr>
            <w:tcW w:w="270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2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3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1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2</w:t>
            </w:r>
          </w:p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1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以下根据上海市地区及季节差异选择，例数不作具体要求</w:t>
      </w:r>
    </w:p>
    <w:tbl>
      <w:tblPr>
        <w:tblW w:w="6131" w:type="dxa"/>
        <w:tblCellMar>
          <w:left w:w="0" w:type="dxa"/>
          <w:right w:w="0" w:type="dxa"/>
        </w:tblCellMar>
        <w:tblLook w:val="04A0"/>
      </w:tblPr>
      <w:tblGrid>
        <w:gridCol w:w="5106"/>
        <w:gridCol w:w="1025"/>
      </w:tblGrid>
      <w:tr w:rsidR="00EE6102" w:rsidRPr="00EE6102" w:rsidTr="00EE6102">
        <w:trPr>
          <w:trHeight w:val="98"/>
        </w:trPr>
        <w:tc>
          <w:tcPr>
            <w:tcW w:w="510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lastRenderedPageBreak/>
              <w:t> </w:t>
            </w:r>
          </w:p>
        </w:tc>
        <w:tc>
          <w:tcPr>
            <w:tcW w:w="102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rPr>
          <w:trHeight w:val="98"/>
        </w:trPr>
        <w:tc>
          <w:tcPr>
            <w:tcW w:w="510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5"/>
              </w:rPr>
              <w:t>病    种</w:t>
            </w:r>
          </w:p>
        </w:tc>
        <w:tc>
          <w:tcPr>
            <w:tcW w:w="102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rPr>
          <w:trHeight w:val="98"/>
        </w:trPr>
        <w:tc>
          <w:tcPr>
            <w:tcW w:w="510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乙型脑炎                        流行性腮腺炎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流行性脑脊髓膜炎                麻疹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疟疾                            伤寒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霍乱                            肝脓肿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钩端螺旋体病                    阿米巴病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流行性出血热                    血吸虫病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包虫病                          肝吸虫病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黑热病                          囊虫病</w:t>
            </w:r>
          </w:p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狂犬病</w:t>
            </w:r>
          </w:p>
        </w:tc>
        <w:tc>
          <w:tcPr>
            <w:tcW w:w="1025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  <w:p w:rsidR="00EE6102" w:rsidRPr="00EE6102" w:rsidRDefault="00EE6102" w:rsidP="00EE6102">
            <w:pPr>
              <w:widowControl/>
              <w:spacing w:line="98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（2）基本技能要求</w:t>
      </w:r>
    </w:p>
    <w:tbl>
      <w:tblPr>
        <w:tblW w:w="6011" w:type="dxa"/>
        <w:tblCellMar>
          <w:left w:w="0" w:type="dxa"/>
          <w:right w:w="0" w:type="dxa"/>
        </w:tblCellMar>
        <w:tblLook w:val="04A0"/>
      </w:tblPr>
      <w:tblGrid>
        <w:gridCol w:w="4484"/>
        <w:gridCol w:w="1527"/>
      </w:tblGrid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5"/>
              </w:rPr>
              <w:t>操 作 名 称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消毒隔离无菌技术操作（特殊传染病的要求）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腹腔穿刺术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胸腔穿刺术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骨髓穿刺及活检术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腰椎穿刺术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b/>
          <w:bCs/>
          <w:color w:val="666666"/>
          <w:kern w:val="0"/>
          <w:sz w:val="15"/>
        </w:rPr>
        <w:t>3.较高要求</w:t>
      </w:r>
    </w:p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（1）学习病种</w:t>
      </w:r>
    </w:p>
    <w:tbl>
      <w:tblPr>
        <w:tblW w:w="6131" w:type="dxa"/>
        <w:tblCellMar>
          <w:left w:w="0" w:type="dxa"/>
          <w:right w:w="0" w:type="dxa"/>
        </w:tblCellMar>
        <w:tblLook w:val="04A0"/>
      </w:tblPr>
      <w:tblGrid>
        <w:gridCol w:w="5378"/>
        <w:gridCol w:w="753"/>
      </w:tblGrid>
      <w:tr w:rsidR="00EE6102" w:rsidRPr="00EE6102" w:rsidTr="00EE6102">
        <w:tc>
          <w:tcPr>
            <w:tcW w:w="5389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5"/>
              </w:rPr>
              <w:t>病    种</w:t>
            </w:r>
          </w:p>
        </w:tc>
        <w:tc>
          <w:tcPr>
            <w:tcW w:w="753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5389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传染性单核细胞增多症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布鲁菌病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医院内感染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弓形虫病</w:t>
            </w:r>
          </w:p>
          <w:p w:rsidR="00EE6102" w:rsidRPr="00EE6102" w:rsidRDefault="00EE6102" w:rsidP="00EE6102">
            <w:pPr>
              <w:widowControl/>
              <w:spacing w:line="305" w:lineRule="atLeast"/>
              <w:ind w:left="109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梅毒</w:t>
            </w:r>
          </w:p>
        </w:tc>
        <w:tc>
          <w:tcPr>
            <w:tcW w:w="753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</w:tbl>
    <w:p w:rsidR="00EE6102" w:rsidRPr="00EE6102" w:rsidRDefault="00EE6102" w:rsidP="00EE6102">
      <w:pPr>
        <w:widowControl/>
        <w:spacing w:line="305" w:lineRule="atLeast"/>
        <w:ind w:left="109" w:right="109"/>
        <w:jc w:val="left"/>
        <w:textAlignment w:val="baseline"/>
        <w:rPr>
          <w:rFonts w:ascii="宋体" w:eastAsia="宋体" w:hAnsi="宋体" w:cs="宋体" w:hint="eastAsia"/>
          <w:color w:val="666666"/>
          <w:kern w:val="0"/>
          <w:sz w:val="15"/>
          <w:szCs w:val="15"/>
        </w:rPr>
      </w:pPr>
      <w:r w:rsidRPr="00EE6102">
        <w:rPr>
          <w:rFonts w:ascii="宋体" w:eastAsia="宋体" w:hAnsi="宋体" w:cs="宋体" w:hint="eastAsia"/>
          <w:color w:val="666666"/>
          <w:kern w:val="0"/>
          <w:sz w:val="15"/>
          <w:szCs w:val="15"/>
        </w:rPr>
        <w:t>（2）临床知识、技能要求</w:t>
      </w:r>
    </w:p>
    <w:tbl>
      <w:tblPr>
        <w:tblW w:w="6011" w:type="dxa"/>
        <w:tblCellMar>
          <w:left w:w="0" w:type="dxa"/>
          <w:right w:w="0" w:type="dxa"/>
        </w:tblCellMar>
        <w:tblLook w:val="04A0"/>
      </w:tblPr>
      <w:tblGrid>
        <w:gridCol w:w="4484"/>
        <w:gridCol w:w="1527"/>
      </w:tblGrid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15"/>
              </w:rPr>
              <w:t>操 作 名 称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肝脏穿刺活检术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  <w:tr w:rsidR="00EE6102" w:rsidRPr="00EE6102" w:rsidTr="00EE6102">
        <w:tc>
          <w:tcPr>
            <w:tcW w:w="4484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肝脓肿穿刺引流术</w:t>
            </w:r>
          </w:p>
        </w:tc>
        <w:tc>
          <w:tcPr>
            <w:tcW w:w="1527" w:type="dxa"/>
            <w:tcBorders>
              <w:top w:val="single" w:sz="4" w:space="0" w:color="BBBBBB"/>
              <w:left w:val="single" w:sz="4" w:space="0" w:color="BBBBBB"/>
              <w:bottom w:val="single" w:sz="4" w:space="0" w:color="BBBBBB"/>
              <w:right w:val="single" w:sz="4" w:space="0" w:color="BBBBBB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EE6102" w:rsidRPr="00EE6102" w:rsidRDefault="00EE6102" w:rsidP="00EE6102">
            <w:pPr>
              <w:widowControl/>
              <w:spacing w:line="305" w:lineRule="atLeast"/>
              <w:ind w:left="200" w:right="109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 w:val="15"/>
                <w:szCs w:val="15"/>
              </w:rPr>
            </w:pPr>
            <w:r w:rsidRPr="00EE6102">
              <w:rPr>
                <w:rFonts w:ascii="宋体" w:eastAsia="宋体" w:hAnsi="宋体" w:cs="宋体" w:hint="eastAsia"/>
                <w:color w:val="666666"/>
                <w:kern w:val="0"/>
                <w:sz w:val="15"/>
                <w:szCs w:val="15"/>
              </w:rPr>
              <w:t> </w:t>
            </w:r>
          </w:p>
        </w:tc>
      </w:tr>
    </w:tbl>
    <w:p w:rsidR="0075372B" w:rsidRDefault="0075372B"/>
    <w:sectPr w:rsidR="0075372B" w:rsidSect="00753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7334" w:rsidRDefault="006F7334" w:rsidP="00EE6102">
      <w:r>
        <w:separator/>
      </w:r>
    </w:p>
  </w:endnote>
  <w:endnote w:type="continuationSeparator" w:id="0">
    <w:p w:rsidR="006F7334" w:rsidRDefault="006F7334" w:rsidP="00EE6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7334" w:rsidRDefault="006F7334" w:rsidP="00EE6102">
      <w:r>
        <w:separator/>
      </w:r>
    </w:p>
  </w:footnote>
  <w:footnote w:type="continuationSeparator" w:id="0">
    <w:p w:rsidR="006F7334" w:rsidRDefault="006F7334" w:rsidP="00EE61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6102"/>
    <w:rsid w:val="006F7334"/>
    <w:rsid w:val="0075372B"/>
    <w:rsid w:val="00EE6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6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61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61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6102"/>
    <w:rPr>
      <w:sz w:val="18"/>
      <w:szCs w:val="18"/>
    </w:rPr>
  </w:style>
  <w:style w:type="paragraph" w:styleId="a5">
    <w:name w:val="Normal (Web)"/>
    <w:basedOn w:val="a"/>
    <w:uiPriority w:val="99"/>
    <w:unhideWhenUsed/>
    <w:rsid w:val="00EE61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E61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2017-11-10T03:14:00Z</dcterms:created>
  <dcterms:modified xsi:type="dcterms:W3CDTF">2017-11-10T03:15:00Z</dcterms:modified>
</cp:coreProperties>
</file>