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50" w:lineRule="atLeast"/>
        <w:textAlignment w:val="baseline"/>
        <w:rPr>
          <w:rFonts w:ascii="仿宋_GB2312" w:hAnsi="宋体" w:eastAsia="仿宋_GB2312" w:cs="宋体"/>
          <w:color w:val="333333"/>
          <w:kern w:val="0"/>
          <w:sz w:val="30"/>
          <w:szCs w:val="30"/>
        </w:rPr>
      </w:pPr>
      <w:r>
        <w:rPr>
          <w:rFonts w:hint="eastAsia" w:ascii="仿宋_GB2312" w:hAnsi="宋体" w:eastAsia="仿宋_GB2312" w:cs="宋体"/>
          <w:color w:val="333333"/>
          <w:kern w:val="0"/>
          <w:sz w:val="30"/>
          <w:szCs w:val="30"/>
        </w:rPr>
        <w:t>附件１：</w:t>
      </w:r>
    </w:p>
    <w:p>
      <w:pPr>
        <w:widowControl/>
        <w:spacing w:line="310" w:lineRule="atLeast"/>
        <w:jc w:val="center"/>
        <w:textAlignment w:val="baseline"/>
        <w:rPr>
          <w:rFonts w:ascii="仿宋_GB2312" w:hAnsi="宋体" w:eastAsia="仿宋_GB2312" w:cs="宋体"/>
          <w:color w:val="333333"/>
          <w:kern w:val="0"/>
          <w:sz w:val="30"/>
          <w:szCs w:val="30"/>
        </w:rPr>
      </w:pPr>
      <w:r>
        <w:rPr>
          <w:rFonts w:hint="eastAsia" w:ascii="仿宋_GB2312" w:hAnsi="宋体" w:eastAsia="仿宋_GB2312" w:cs="宋体"/>
          <w:color w:val="333333"/>
          <w:kern w:val="0"/>
          <w:sz w:val="30"/>
          <w:szCs w:val="30"/>
        </w:rPr>
        <w:t>2017年双鸭山市人民医院公开招聘医疗护理人员计划表</w:t>
      </w:r>
    </w:p>
    <w:tbl>
      <w:tblPr>
        <w:tblStyle w:val="7"/>
        <w:tblW w:w="8821"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6"/>
        <w:gridCol w:w="1330"/>
        <w:gridCol w:w="1605"/>
        <w:gridCol w:w="1207"/>
        <w:gridCol w:w="1922"/>
        <w:gridCol w:w="949"/>
        <w:gridCol w:w="119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616" w:type="dxa"/>
            <w:vMerge w:val="restart"/>
          </w:tcPr>
          <w:p>
            <w:pPr>
              <w:widowControl/>
              <w:spacing w:line="420" w:lineRule="exact"/>
              <w:jc w:val="center"/>
              <w:textAlignment w:val="baseline"/>
              <w:rPr>
                <w:rFonts w:hint="eastAsia" w:ascii="仿宋_GB2312" w:hAnsi="仿宋" w:eastAsia="仿宋_GB2312" w:cs="宋体"/>
                <w:color w:val="333333"/>
                <w:kern w:val="0"/>
                <w:sz w:val="24"/>
              </w:rPr>
            </w:pPr>
          </w:p>
          <w:p>
            <w:pPr>
              <w:widowControl/>
              <w:spacing w:line="420" w:lineRule="exact"/>
              <w:jc w:val="center"/>
              <w:textAlignment w:val="baseline"/>
              <w:rPr>
                <w:rFonts w:hint="eastAsia" w:ascii="仿宋_GB2312" w:hAnsi="仿宋" w:eastAsia="仿宋_GB2312" w:cs="宋体"/>
                <w:color w:val="333333"/>
                <w:kern w:val="0"/>
                <w:sz w:val="24"/>
              </w:rPr>
            </w:pPr>
          </w:p>
          <w:p>
            <w:pPr>
              <w:widowControl/>
              <w:spacing w:line="420" w:lineRule="exact"/>
              <w:jc w:val="center"/>
              <w:textAlignment w:val="baseline"/>
              <w:rPr>
                <w:rFonts w:hint="eastAsia" w:ascii="仿宋_GB2312" w:hAnsi="仿宋" w:eastAsia="仿宋_GB2312" w:cs="宋体"/>
                <w:color w:val="333333"/>
                <w:kern w:val="0"/>
                <w:sz w:val="24"/>
              </w:rPr>
            </w:pPr>
          </w:p>
          <w:p>
            <w:pPr>
              <w:widowControl/>
              <w:spacing w:line="420" w:lineRule="exact"/>
              <w:jc w:val="center"/>
              <w:textAlignment w:val="baseline"/>
              <w:rPr>
                <w:rFonts w:hint="eastAsia" w:ascii="仿宋_GB2312" w:hAnsi="仿宋" w:eastAsia="仿宋_GB2312" w:cs="宋体"/>
                <w:color w:val="333333"/>
                <w:kern w:val="0"/>
                <w:sz w:val="24"/>
              </w:rPr>
            </w:pPr>
          </w:p>
          <w:p>
            <w:pPr>
              <w:widowControl/>
              <w:spacing w:line="420" w:lineRule="exact"/>
              <w:jc w:val="center"/>
              <w:textAlignment w:val="baseline"/>
              <w:rPr>
                <w:rFonts w:hint="eastAsia" w:ascii="仿宋_GB2312" w:hAnsi="仿宋" w:eastAsia="仿宋_GB2312" w:cs="宋体"/>
                <w:color w:val="333333"/>
                <w:kern w:val="0"/>
                <w:sz w:val="24"/>
              </w:rPr>
            </w:pPr>
          </w:p>
          <w:p>
            <w:pPr>
              <w:widowControl/>
              <w:spacing w:line="420" w:lineRule="exact"/>
              <w:jc w:val="center"/>
              <w:textAlignment w:val="baseline"/>
              <w:rPr>
                <w:rFonts w:hint="eastAsia" w:ascii="仿宋_GB2312" w:hAnsi="仿宋" w:eastAsia="仿宋_GB2312" w:cs="宋体"/>
                <w:color w:val="333333"/>
                <w:kern w:val="0"/>
                <w:sz w:val="24"/>
              </w:rPr>
            </w:pPr>
          </w:p>
          <w:p>
            <w:pPr>
              <w:widowControl/>
              <w:spacing w:line="420" w:lineRule="exact"/>
              <w:jc w:val="center"/>
              <w:textAlignment w:val="baseline"/>
              <w:rPr>
                <w:rFonts w:hint="eastAsia" w:ascii="仿宋_GB2312" w:hAnsi="仿宋" w:eastAsia="仿宋_GB2312" w:cs="宋体"/>
                <w:color w:val="333333"/>
                <w:kern w:val="0"/>
                <w:sz w:val="24"/>
              </w:rPr>
            </w:pPr>
          </w:p>
          <w:p>
            <w:pPr>
              <w:widowControl/>
              <w:spacing w:line="420" w:lineRule="exact"/>
              <w:jc w:val="center"/>
              <w:textAlignment w:val="baseline"/>
              <w:rPr>
                <w:rFonts w:hint="eastAsia" w:ascii="仿宋_GB2312" w:hAnsi="仿宋" w:eastAsia="仿宋_GB2312" w:cs="宋体"/>
                <w:color w:val="333333"/>
                <w:kern w:val="0"/>
                <w:sz w:val="24"/>
              </w:rPr>
            </w:pPr>
          </w:p>
          <w:p>
            <w:pPr>
              <w:widowControl/>
              <w:spacing w:line="420" w:lineRule="exact"/>
              <w:jc w:val="center"/>
              <w:textAlignment w:val="baseline"/>
              <w:rPr>
                <w:rFonts w:hint="eastAsia" w:ascii="仿宋_GB2312" w:hAnsi="仿宋" w:eastAsia="仿宋_GB2312" w:cs="宋体"/>
                <w:color w:val="333333"/>
                <w:kern w:val="0"/>
                <w:sz w:val="24"/>
              </w:rPr>
            </w:pPr>
          </w:p>
          <w:p>
            <w:pPr>
              <w:widowControl/>
              <w:spacing w:line="420" w:lineRule="exact"/>
              <w:jc w:val="center"/>
              <w:textAlignment w:val="baseline"/>
              <w:rPr>
                <w:rFonts w:hint="eastAsia" w:ascii="仿宋_GB2312" w:hAnsi="仿宋" w:eastAsia="仿宋_GB2312" w:cs="宋体"/>
                <w:color w:val="333333"/>
                <w:kern w:val="0"/>
                <w:sz w:val="24"/>
              </w:rPr>
            </w:pPr>
          </w:p>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w:t>
            </w:r>
          </w:p>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疗</w:t>
            </w:r>
          </w:p>
          <w:p>
            <w:pPr>
              <w:widowControl/>
              <w:spacing w:line="420" w:lineRule="exact"/>
              <w:jc w:val="center"/>
              <w:textAlignment w:val="baseline"/>
              <w:rPr>
                <w:rFonts w:hint="eastAsia" w:ascii="仿宋_GB2312" w:hAnsi="仿宋" w:eastAsia="仿宋_GB2312" w:cs="宋体"/>
                <w:color w:val="333333"/>
                <w:kern w:val="0"/>
                <w:sz w:val="24"/>
              </w:rPr>
            </w:pPr>
          </w:p>
          <w:p>
            <w:pPr>
              <w:widowControl/>
              <w:spacing w:line="420" w:lineRule="exact"/>
              <w:jc w:val="center"/>
              <w:textAlignment w:val="baseline"/>
              <w:rPr>
                <w:rFonts w:hint="eastAsia" w:ascii="仿宋_GB2312" w:hAnsi="仿宋" w:eastAsia="仿宋_GB2312" w:cs="宋体"/>
                <w:color w:val="333333"/>
                <w:kern w:val="0"/>
                <w:sz w:val="24"/>
              </w:rPr>
            </w:pPr>
          </w:p>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w:t>
            </w:r>
          </w:p>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技</w:t>
            </w: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科　室</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专　业</w:t>
            </w:r>
          </w:p>
        </w:tc>
        <w:tc>
          <w:tcPr>
            <w:tcW w:w="1207" w:type="dxa"/>
            <w:vAlign w:val="center"/>
          </w:tcPr>
          <w:p>
            <w:pPr>
              <w:widowControl/>
              <w:spacing w:line="420" w:lineRule="exact"/>
              <w:jc w:val="center"/>
              <w:textAlignment w:val="baseline"/>
              <w:rPr>
                <w:rFonts w:hint="eastAsia" w:ascii="仿宋_GB2312" w:hAnsi="仿宋" w:eastAsia="仿宋_GB2312" w:cs="宋体"/>
                <w:color w:val="333333"/>
                <w:w w:val="90"/>
                <w:kern w:val="0"/>
                <w:sz w:val="24"/>
              </w:rPr>
            </w:pPr>
            <w:r>
              <w:rPr>
                <w:rFonts w:hint="eastAsia" w:ascii="仿宋_GB2312" w:hAnsi="仿宋" w:eastAsia="仿宋_GB2312" w:cs="宋体"/>
                <w:color w:val="333333"/>
                <w:w w:val="80"/>
                <w:kern w:val="0"/>
                <w:sz w:val="24"/>
              </w:rPr>
              <w:t>需求数（人）</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岗位类别</w:t>
            </w:r>
          </w:p>
        </w:tc>
        <w:tc>
          <w:tcPr>
            <w:tcW w:w="949"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w w:val="66"/>
                <w:kern w:val="0"/>
                <w:sz w:val="24"/>
              </w:rPr>
              <w:t>学历要求</w:t>
            </w:r>
          </w:p>
        </w:tc>
        <w:tc>
          <w:tcPr>
            <w:tcW w:w="1192" w:type="dxa"/>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胸外科</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临床医疗</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2</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医生2人</w:t>
            </w:r>
          </w:p>
        </w:tc>
        <w:tc>
          <w:tcPr>
            <w:tcW w:w="949" w:type="dxa"/>
            <w:vMerge w:val="restart"/>
          </w:tcPr>
          <w:p>
            <w:pPr>
              <w:widowControl/>
              <w:spacing w:line="400" w:lineRule="exact"/>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1、医疗、医技要求全日制本科以</w:t>
            </w:r>
          </w:p>
          <w:p>
            <w:pPr>
              <w:widowControl/>
              <w:spacing w:line="400" w:lineRule="exact"/>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上学历（含本科学历）</w:t>
            </w:r>
          </w:p>
          <w:p>
            <w:pPr>
              <w:widowControl/>
              <w:numPr>
                <w:ilvl w:val="0"/>
                <w:numId w:val="1"/>
              </w:numPr>
              <w:spacing w:line="400" w:lineRule="exact"/>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影像技师要求全日制专科以上学历（含专科学历）</w:t>
            </w:r>
          </w:p>
          <w:p>
            <w:pPr>
              <w:widowControl/>
              <w:numPr>
                <w:ilvl w:val="0"/>
                <w:numId w:val="1"/>
              </w:numPr>
              <w:spacing w:line="400" w:lineRule="exact"/>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护理专业要求全日制中专以上学历（含中专学历）</w:t>
            </w:r>
          </w:p>
        </w:tc>
        <w:tc>
          <w:tcPr>
            <w:tcW w:w="1192" w:type="dxa"/>
            <w:vMerge w:val="restart"/>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1、临床医疗应具有</w:t>
            </w:r>
          </w:p>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相应的执业资格（未取得执业资格证书的须</w:t>
            </w:r>
          </w:p>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两年内</w:t>
            </w:r>
          </w:p>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取得）</w:t>
            </w:r>
          </w:p>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2、护理专业应取得相应的护士执业资格证书或取得护士执业资格合格证明（高中起点全日制本科学历毕业生聘用后两年内须取得相应专业执业资格证书）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泌尿外科</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临床医疗</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2</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医生2人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眼科</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临床医疗</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2</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医生2人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妇产科</w:t>
            </w:r>
          </w:p>
        </w:tc>
        <w:tc>
          <w:tcPr>
            <w:tcW w:w="1605" w:type="dxa"/>
            <w:vAlign w:val="center"/>
          </w:tcPr>
          <w:p>
            <w:pPr>
              <w:widowControl/>
              <w:spacing w:line="420" w:lineRule="exact"/>
              <w:jc w:val="center"/>
              <w:textAlignment w:val="baseline"/>
              <w:rPr>
                <w:rFonts w:hint="eastAsia" w:ascii="仿宋_GB2312" w:hAnsi="仿宋" w:eastAsia="仿宋_GB2312" w:cs="宋体"/>
                <w:color w:val="333333"/>
                <w:w w:val="80"/>
                <w:kern w:val="0"/>
                <w:sz w:val="24"/>
              </w:rPr>
            </w:pPr>
            <w:r>
              <w:rPr>
                <w:rFonts w:hint="eastAsia" w:ascii="仿宋_GB2312" w:hAnsi="仿宋" w:eastAsia="仿宋_GB2312" w:cs="宋体"/>
                <w:color w:val="333333"/>
                <w:w w:val="80"/>
                <w:kern w:val="0"/>
                <w:sz w:val="24"/>
              </w:rPr>
              <w:t>医疗或妇产专业</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4</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医生4人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儿科</w:t>
            </w:r>
          </w:p>
        </w:tc>
        <w:tc>
          <w:tcPr>
            <w:tcW w:w="1605" w:type="dxa"/>
            <w:vAlign w:val="center"/>
          </w:tcPr>
          <w:p>
            <w:pPr>
              <w:widowControl/>
              <w:spacing w:line="420" w:lineRule="exact"/>
              <w:jc w:val="center"/>
              <w:textAlignment w:val="baseline"/>
              <w:rPr>
                <w:rFonts w:hint="eastAsia" w:ascii="仿宋_GB2312" w:hAnsi="仿宋" w:eastAsia="仿宋_GB2312" w:cs="宋体"/>
                <w:color w:val="333333"/>
                <w:w w:val="80"/>
                <w:kern w:val="0"/>
                <w:sz w:val="24"/>
              </w:rPr>
            </w:pPr>
            <w:r>
              <w:rPr>
                <w:rFonts w:hint="eastAsia" w:ascii="仿宋_GB2312" w:hAnsi="仿宋" w:eastAsia="仿宋_GB2312" w:cs="宋体"/>
                <w:color w:val="333333"/>
                <w:w w:val="80"/>
                <w:kern w:val="0"/>
                <w:sz w:val="24"/>
              </w:rPr>
              <w:t>医疗或儿科专业</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2</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医生2人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w w:val="80"/>
                <w:kern w:val="0"/>
                <w:sz w:val="24"/>
              </w:rPr>
              <w:t>呼吸消化科</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临床医疗</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2</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医生2人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循环内科</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临床医疗</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6</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医生6人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神经内科</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临床医疗</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6</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医生6人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耳鼻喉科</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耳鼻喉方向</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1</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医生1人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放射线科</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影像</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3</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w w:val="90"/>
                <w:kern w:val="0"/>
                <w:sz w:val="24"/>
              </w:rPr>
              <w:t>医生2人技师1人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w w:val="90"/>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w w:val="90"/>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w w:val="90"/>
                <w:kern w:val="0"/>
                <w:sz w:val="24"/>
              </w:rPr>
            </w:pPr>
            <w:r>
              <w:rPr>
                <w:rFonts w:hint="eastAsia" w:ascii="仿宋_GB2312" w:hAnsi="仿宋" w:eastAsia="仿宋_GB2312" w:cs="宋体"/>
                <w:color w:val="333333"/>
                <w:w w:val="80"/>
                <w:kern w:val="0"/>
                <w:sz w:val="24"/>
              </w:rPr>
              <w:t>ＣＴ、ＭＲ室</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影像</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3</w:t>
            </w:r>
          </w:p>
        </w:tc>
        <w:tc>
          <w:tcPr>
            <w:tcW w:w="1922" w:type="dxa"/>
            <w:vAlign w:val="center"/>
          </w:tcPr>
          <w:p>
            <w:pPr>
              <w:widowControl/>
              <w:spacing w:line="420" w:lineRule="exact"/>
              <w:jc w:val="center"/>
              <w:textAlignment w:val="baseline"/>
              <w:rPr>
                <w:rFonts w:hint="eastAsia" w:ascii="仿宋_GB2312" w:hAnsi="仿宋" w:eastAsia="仿宋_GB2312" w:cs="宋体"/>
                <w:color w:val="333333"/>
                <w:w w:val="90"/>
                <w:kern w:val="0"/>
                <w:sz w:val="24"/>
              </w:rPr>
            </w:pPr>
            <w:r>
              <w:rPr>
                <w:rFonts w:hint="eastAsia" w:ascii="仿宋_GB2312" w:hAnsi="仿宋" w:eastAsia="仿宋_GB2312" w:cs="宋体"/>
                <w:color w:val="333333"/>
                <w:w w:val="90"/>
                <w:kern w:val="0"/>
                <w:sz w:val="24"/>
              </w:rPr>
              <w:t>诊断2人技师1人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w w:val="90"/>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w w:val="90"/>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心电室</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临床医疗</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1</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医生1人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彩超室</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影像</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2</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医生2人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检验科</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检验</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1</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检验师1人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急诊内科</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临床医疗</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5</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医生5人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普外科</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临床医疗</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1</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医生1人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骨外科</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临床医疗</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2</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医生2人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中医肾内</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中医或医疗</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2</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医生1人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616" w:type="dxa"/>
            <w:vMerge w:val="continue"/>
          </w:tcPr>
          <w:p>
            <w:pPr>
              <w:widowControl/>
              <w:spacing w:line="420" w:lineRule="exact"/>
              <w:jc w:val="left"/>
              <w:textAlignment w:val="baseline"/>
              <w:rPr>
                <w:rFonts w:hint="eastAsia" w:ascii="仿宋_GB2312" w:hAnsi="仿宋" w:eastAsia="仿宋_GB2312" w:cs="宋体"/>
                <w:color w:val="333333"/>
                <w:kern w:val="0"/>
                <w:sz w:val="24"/>
              </w:rPr>
            </w:pPr>
          </w:p>
        </w:tc>
        <w:tc>
          <w:tcPr>
            <w:tcW w:w="1330"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肿瘤科</w:t>
            </w:r>
          </w:p>
        </w:tc>
        <w:tc>
          <w:tcPr>
            <w:tcW w:w="1605"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临床医疗</w:t>
            </w:r>
          </w:p>
        </w:tc>
        <w:tc>
          <w:tcPr>
            <w:tcW w:w="1207"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1</w:t>
            </w:r>
          </w:p>
        </w:tc>
        <w:tc>
          <w:tcPr>
            <w:tcW w:w="1922"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医生1人</w:t>
            </w:r>
          </w:p>
        </w:tc>
        <w:tc>
          <w:tcPr>
            <w:tcW w:w="949"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6" w:type="dxa"/>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w w:val="80"/>
                <w:kern w:val="0"/>
                <w:sz w:val="24"/>
              </w:rPr>
              <w:t>护理</w:t>
            </w:r>
          </w:p>
        </w:tc>
        <w:tc>
          <w:tcPr>
            <w:tcW w:w="1330" w:type="dxa"/>
            <w:tcBorders>
              <w:bottom w:val="single" w:color="auto" w:sz="4" w:space="0"/>
            </w:tcBorders>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w w:val="80"/>
                <w:kern w:val="0"/>
                <w:sz w:val="24"/>
              </w:rPr>
              <w:t>临床各科室</w:t>
            </w:r>
          </w:p>
        </w:tc>
        <w:tc>
          <w:tcPr>
            <w:tcW w:w="1605" w:type="dxa"/>
            <w:tcBorders>
              <w:bottom w:val="single" w:color="auto" w:sz="4" w:space="0"/>
            </w:tcBorders>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护理专业</w:t>
            </w:r>
          </w:p>
        </w:tc>
        <w:tc>
          <w:tcPr>
            <w:tcW w:w="1207" w:type="dxa"/>
            <w:tcBorders>
              <w:bottom w:val="single" w:color="auto" w:sz="4" w:space="0"/>
            </w:tcBorders>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50</w:t>
            </w:r>
          </w:p>
        </w:tc>
        <w:tc>
          <w:tcPr>
            <w:tcW w:w="1922" w:type="dxa"/>
            <w:tcBorders>
              <w:bottom w:val="single" w:color="auto" w:sz="4" w:space="0"/>
            </w:tcBorders>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护士50人</w:t>
            </w:r>
          </w:p>
        </w:tc>
        <w:tc>
          <w:tcPr>
            <w:tcW w:w="949" w:type="dxa"/>
            <w:vMerge w:val="continue"/>
            <w:tcBorders>
              <w:bottom w:val="single" w:color="auto" w:sz="4" w:space="0"/>
            </w:tcBorders>
          </w:tcPr>
          <w:p>
            <w:pPr>
              <w:widowControl/>
              <w:spacing w:line="420" w:lineRule="exact"/>
              <w:jc w:val="center"/>
              <w:textAlignment w:val="baseline"/>
              <w:rPr>
                <w:rFonts w:hint="eastAsia" w:ascii="仿宋_GB2312" w:hAnsi="仿宋" w:eastAsia="仿宋_GB2312" w:cs="宋体"/>
                <w:color w:val="333333"/>
                <w:kern w:val="0"/>
                <w:sz w:val="24"/>
              </w:rPr>
            </w:pPr>
          </w:p>
        </w:tc>
        <w:tc>
          <w:tcPr>
            <w:tcW w:w="1192" w:type="dxa"/>
            <w:vMerge w:val="continue"/>
            <w:tcBorders>
              <w:bottom w:val="single" w:color="auto" w:sz="4" w:space="0"/>
            </w:tcBorders>
          </w:tcPr>
          <w:p>
            <w:pPr>
              <w:widowControl/>
              <w:spacing w:line="420" w:lineRule="exact"/>
              <w:jc w:val="center"/>
              <w:textAlignment w:val="baseline"/>
              <w:rPr>
                <w:rFonts w:hint="eastAsia" w:ascii="仿宋_GB2312" w:hAnsi="仿宋" w:eastAsia="仿宋_GB2312" w:cs="宋体"/>
                <w:color w:val="333333"/>
                <w:kern w:val="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trPr>
        <w:tc>
          <w:tcPr>
            <w:tcW w:w="616" w:type="dxa"/>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w w:val="66"/>
                <w:kern w:val="0"/>
                <w:sz w:val="24"/>
              </w:rPr>
              <w:t>合计</w:t>
            </w:r>
          </w:p>
        </w:tc>
        <w:tc>
          <w:tcPr>
            <w:tcW w:w="8205" w:type="dxa"/>
            <w:gridSpan w:val="6"/>
            <w:tcBorders>
              <w:top w:val="single" w:color="auto" w:sz="4" w:space="0"/>
            </w:tcBorders>
            <w:vAlign w:val="center"/>
          </w:tcPr>
          <w:p>
            <w:pPr>
              <w:widowControl/>
              <w:spacing w:line="420" w:lineRule="exact"/>
              <w:jc w:val="center"/>
              <w:textAlignment w:val="baseline"/>
              <w:rPr>
                <w:rFonts w:hint="eastAsia" w:ascii="仿宋_GB2312" w:hAnsi="仿宋" w:eastAsia="仿宋_GB2312" w:cs="宋体"/>
                <w:color w:val="333333"/>
                <w:kern w:val="0"/>
                <w:sz w:val="24"/>
              </w:rPr>
            </w:pPr>
            <w:r>
              <w:rPr>
                <w:rFonts w:hint="eastAsia" w:ascii="仿宋_GB2312" w:hAnsi="仿宋" w:eastAsia="仿宋_GB2312" w:cs="宋体"/>
                <w:color w:val="333333"/>
                <w:kern w:val="0"/>
                <w:sz w:val="24"/>
              </w:rPr>
              <w:t>98人</w:t>
            </w:r>
          </w:p>
        </w:tc>
      </w:tr>
    </w:tbl>
    <w:p>
      <w:pPr>
        <w:widowControl/>
        <w:spacing w:line="450" w:lineRule="atLeast"/>
        <w:textAlignment w:val="baseline"/>
        <w:rPr>
          <w:rFonts w:ascii="仿宋_GB2312" w:hAnsi="宋体" w:eastAsia="仿宋_GB2312" w:cs="宋体"/>
          <w:color w:val="333333"/>
          <w:kern w:val="0"/>
          <w:sz w:val="30"/>
          <w:szCs w:val="30"/>
        </w:rPr>
      </w:pPr>
      <w:bookmarkStart w:id="0" w:name="_GoBack"/>
      <w:bookmarkEnd w:id="0"/>
    </w:p>
    <w:sectPr>
      <w:footerReference r:id="rId3" w:type="default"/>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eastAsia="宋体"/>
                            </w:rP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3"/>
                      <w:rPr>
                        <w:rFonts w:eastAsia="宋体"/>
                      </w:rP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DADDF0"/>
    <w:multiLevelType w:val="singleLevel"/>
    <w:tmpl w:val="59DADDF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F7003"/>
    <w:rsid w:val="00175E2C"/>
    <w:rsid w:val="00237A4E"/>
    <w:rsid w:val="00277C6F"/>
    <w:rsid w:val="0031260A"/>
    <w:rsid w:val="00357562"/>
    <w:rsid w:val="0041500B"/>
    <w:rsid w:val="00764A1E"/>
    <w:rsid w:val="00894776"/>
    <w:rsid w:val="00A75DEC"/>
    <w:rsid w:val="00B43314"/>
    <w:rsid w:val="00E04DCA"/>
    <w:rsid w:val="011723D1"/>
    <w:rsid w:val="035A3336"/>
    <w:rsid w:val="04CC49F6"/>
    <w:rsid w:val="058536E2"/>
    <w:rsid w:val="074E1C42"/>
    <w:rsid w:val="07594CC0"/>
    <w:rsid w:val="085570A9"/>
    <w:rsid w:val="0AC47696"/>
    <w:rsid w:val="0C5A71B9"/>
    <w:rsid w:val="0CC06B13"/>
    <w:rsid w:val="0E0263C1"/>
    <w:rsid w:val="0E0A21AC"/>
    <w:rsid w:val="10265BDE"/>
    <w:rsid w:val="16A909AF"/>
    <w:rsid w:val="188557EB"/>
    <w:rsid w:val="189B0477"/>
    <w:rsid w:val="19B731FC"/>
    <w:rsid w:val="1C6F333B"/>
    <w:rsid w:val="1EE62247"/>
    <w:rsid w:val="21AA748F"/>
    <w:rsid w:val="21E559DB"/>
    <w:rsid w:val="225B0F71"/>
    <w:rsid w:val="22D46C49"/>
    <w:rsid w:val="22E561A4"/>
    <w:rsid w:val="260E132E"/>
    <w:rsid w:val="26170F9F"/>
    <w:rsid w:val="290C7A51"/>
    <w:rsid w:val="2BE16CB0"/>
    <w:rsid w:val="2DB335A6"/>
    <w:rsid w:val="2DC4151C"/>
    <w:rsid w:val="2E0763B5"/>
    <w:rsid w:val="301D073B"/>
    <w:rsid w:val="326107C5"/>
    <w:rsid w:val="360D4561"/>
    <w:rsid w:val="386A2BD2"/>
    <w:rsid w:val="39D600C7"/>
    <w:rsid w:val="39F15772"/>
    <w:rsid w:val="3ACD4AE4"/>
    <w:rsid w:val="3AD7188A"/>
    <w:rsid w:val="3B17789A"/>
    <w:rsid w:val="3BA72245"/>
    <w:rsid w:val="3E83353B"/>
    <w:rsid w:val="3F624A69"/>
    <w:rsid w:val="43AF3EAC"/>
    <w:rsid w:val="4503766A"/>
    <w:rsid w:val="4691189E"/>
    <w:rsid w:val="4A7F175B"/>
    <w:rsid w:val="4D4015C4"/>
    <w:rsid w:val="4D511139"/>
    <w:rsid w:val="4DC7718C"/>
    <w:rsid w:val="4F3F108A"/>
    <w:rsid w:val="52AC5C35"/>
    <w:rsid w:val="52B42562"/>
    <w:rsid w:val="52C46F1D"/>
    <w:rsid w:val="52E6777C"/>
    <w:rsid w:val="52FB4AB3"/>
    <w:rsid w:val="54EC5B2B"/>
    <w:rsid w:val="57082E70"/>
    <w:rsid w:val="57C67DD8"/>
    <w:rsid w:val="597D5451"/>
    <w:rsid w:val="5B8457D6"/>
    <w:rsid w:val="5B8F7003"/>
    <w:rsid w:val="5EE14AB0"/>
    <w:rsid w:val="61241413"/>
    <w:rsid w:val="61916983"/>
    <w:rsid w:val="66DC5112"/>
    <w:rsid w:val="67A870C8"/>
    <w:rsid w:val="69363F1E"/>
    <w:rsid w:val="6B2E02A3"/>
    <w:rsid w:val="6C5342EC"/>
    <w:rsid w:val="6D653C78"/>
    <w:rsid w:val="6F5A5705"/>
    <w:rsid w:val="71150B86"/>
    <w:rsid w:val="720431FD"/>
    <w:rsid w:val="72DA2A0F"/>
    <w:rsid w:val="759A4B22"/>
    <w:rsid w:val="7BA0067C"/>
    <w:rsid w:val="7C8F567E"/>
    <w:rsid w:val="7D177465"/>
    <w:rsid w:val="7DBF6136"/>
    <w:rsid w:val="7F6D0D43"/>
    <w:rsid w:val="7F7273A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8"/>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page number"/>
    <w:basedOn w:val="5"/>
    <w:qFormat/>
    <w:uiPriority w:val="0"/>
  </w:style>
  <w:style w:type="character" w:customStyle="1" w:styleId="8">
    <w:name w:val="批注框文本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10</Pages>
  <Words>700</Words>
  <Characters>3995</Characters>
  <Lines>33</Lines>
  <Paragraphs>9</Paragraphs>
  <ScaleCrop>false</ScaleCrop>
  <LinksUpToDate>false</LinksUpToDate>
  <CharactersWithSpaces>4686</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2017-09-18T05:51:00Z</dcterms:created>
  <dc:creator>lanchong</dc:creator>
  <cp:lastModifiedBy>邱靖民</cp:lastModifiedBy>
  <cp:lastPrinted>2017-10-17T01:38:00Z</cp:lastPrinted>
  <dcterms:modified xsi:type="dcterms:W3CDTF">2017-10-17T07:04:04Z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