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5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1339"/>
        <w:gridCol w:w="2248"/>
        <w:gridCol w:w="1172"/>
        <w:gridCol w:w="1576"/>
        <w:gridCol w:w="251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6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bookmarkStart w:id="2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66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2017年台州市第一人民医院本专科招聘需求一览表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2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11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2017年及2016年毕业生，大学英语四级425分及以上；2015年及以前毕业生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须具备执业医师资格。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bookmarkStart w:id="0" w:name="OLE_LINK2"/>
            <w:bookmarkEnd w:id="0"/>
            <w:bookmarkStart w:id="1" w:name="OLE_LINK1"/>
            <w:bookmarkEnd w:id="1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全日制普通高校专科及以上</w:t>
            </w:r>
          </w:p>
        </w:tc>
        <w:tc>
          <w:tcPr>
            <w:tcW w:w="11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2017年应届毕业生或具备护士执照的往届生。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病案室</w:t>
            </w:r>
          </w:p>
        </w:tc>
        <w:tc>
          <w:tcPr>
            <w:tcW w:w="2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全日制普通高校专科及以上</w:t>
            </w:r>
          </w:p>
        </w:tc>
        <w:tc>
          <w:tcPr>
            <w:tcW w:w="11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卫生信息管理、临床医学</w:t>
            </w:r>
          </w:p>
        </w:tc>
        <w:tc>
          <w:tcPr>
            <w:tcW w:w="2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具有编码员资格者优先且待遇从优。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康复技师</w:t>
            </w:r>
          </w:p>
        </w:tc>
        <w:tc>
          <w:tcPr>
            <w:tcW w:w="2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全日制普通高校专科及以上</w:t>
            </w:r>
          </w:p>
        </w:tc>
        <w:tc>
          <w:tcPr>
            <w:tcW w:w="11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康复治疗技术、康复治疗学</w:t>
            </w:r>
          </w:p>
        </w:tc>
        <w:tc>
          <w:tcPr>
            <w:tcW w:w="2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2017年应届毕业生</w:t>
            </w:r>
          </w:p>
        </w:tc>
      </w:tr>
      <w:bookmarkEnd w:id="2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6" w:lineRule="atLeast"/>
        <w:ind w:left="210" w:right="0" w:firstLine="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Arial" w:hAnsi="Arial" w:cs="Arial" w:eastAsiaTheme="minorEastAsia"/>
          <w:b w:val="0"/>
          <w:i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18B"/>
    <w:rsid w:val="00DD21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2017-08-02T05:02:00Z</dcterms:created>
  <dc:creator>ASUS</dc:creator>
  <cp:lastModifiedBy>ASUS</cp:lastModifiedBy>
  <dcterms:modified xsi:type="dcterms:W3CDTF">2017-08-02T05:02:29Z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