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ascii="微软雅黑" w:hAnsi="微软雅黑" w:eastAsia="微软雅黑" w:cs="微软雅黑"/>
          <w:color w:val="333333"/>
          <w:sz w:val="21"/>
          <w:szCs w:val="21"/>
        </w:rPr>
        <w:t>（一）硕士及以上研究生专业技术岗位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  <w:textAlignment w:val="center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报考者应为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lang w:val="en-US"/>
        </w:rPr>
        <w:t>2015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届、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lang w:val="en-US"/>
        </w:rPr>
        <w:t>2016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届、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lang w:val="en-US"/>
        </w:rPr>
        <w:t>2017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届毕业生</w:t>
      </w:r>
    </w:p>
    <w:tbl>
      <w:tblPr>
        <w:tblW w:w="9008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1501"/>
        <w:gridCol w:w="938"/>
        <w:gridCol w:w="3754"/>
        <w:gridCol w:w="1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7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js001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内科学（呼吸系病方向）、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临床医学（呼吸系病方向）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js002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内科学（肾病方向）、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临床医学（肾病方向）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js003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外科学（普外科方向）、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临床医学（普外科方向）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js004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影像医学与核医学（放射诊断学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CT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MR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方向）、临床医学（外科学方向）、外科学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（二）本科及以上学历、学士及以上学位专业技术岗位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  <w:textAlignment w:val="center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报考者应为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lang w:val="en-US"/>
        </w:rPr>
        <w:t>2015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届、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lang w:val="en-US"/>
        </w:rPr>
        <w:t>2016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届、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lang w:val="en-US"/>
        </w:rPr>
        <w:t>2017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届毕业生</w:t>
      </w:r>
    </w:p>
    <w:tbl>
      <w:tblPr>
        <w:tblW w:w="92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1769"/>
        <w:gridCol w:w="1028"/>
        <w:gridCol w:w="3453"/>
        <w:gridCol w:w="2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4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js005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（三）其他专业技术岗位</w:t>
      </w:r>
    </w:p>
    <w:tbl>
      <w:tblPr>
        <w:tblW w:w="91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171"/>
        <w:gridCol w:w="780"/>
        <w:gridCol w:w="1590"/>
        <w:gridCol w:w="840"/>
        <w:gridCol w:w="2433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4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js006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妇产科学（产科方向）、临床医学（产科方向）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、持有主治医师及以上专业技术任职资格证书；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、年龄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周岁及以下（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19 76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日及以后出生）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该岗位从事妇产科科研、教学、临床指导工作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（四）行政岗位</w:t>
      </w:r>
    </w:p>
    <w:tbl>
      <w:tblPr>
        <w:tblW w:w="9186" w:type="dxa"/>
        <w:jc w:val="center"/>
        <w:tblInd w:w="249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205"/>
        <w:gridCol w:w="852"/>
        <w:gridCol w:w="2086"/>
        <w:gridCol w:w="1774"/>
        <w:gridCol w:w="23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0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js007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财务处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会计（学）、财务管理、审计学、金融（学）、财政学、会计硕士、财务会计（教育）、会计与审计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本科及以上、学士及以上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2015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届、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2016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届、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js008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医教部职员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社会医学与卫生事业管理、临床医学、流行病与卫生统计学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、具有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年及以上三级及以上医院相关工作经历；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、年龄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周岁及以下（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1981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default" w:ascii="方正仿宋简体" w:hAnsi="方正仿宋简体" w:eastAsia="方正仿宋简体" w:cs="方正仿宋简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日及以后出生）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00AD0"/>
    <w:rsid w:val="0EA451A3"/>
    <w:rsid w:val="4FA7664C"/>
    <w:rsid w:val="65F5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character" w:customStyle="1" w:styleId="8">
    <w:name w:val="pic-txt"/>
    <w:basedOn w:val="3"/>
    <w:qFormat/>
    <w:uiPriority w:val="0"/>
    <w:rPr>
      <w:sz w:val="18"/>
      <w:szCs w:val="18"/>
    </w:rPr>
  </w:style>
  <w:style w:type="character" w:customStyle="1" w:styleId="9">
    <w:name w:val="spyx_bszn_icon52"/>
    <w:basedOn w:val="3"/>
    <w:qFormat/>
    <w:uiPriority w:val="0"/>
  </w:style>
  <w:style w:type="character" w:customStyle="1" w:styleId="10">
    <w:name w:val="spyx_bszn_icon"/>
    <w:basedOn w:val="3"/>
    <w:qFormat/>
    <w:uiPriority w:val="0"/>
  </w:style>
  <w:style w:type="character" w:customStyle="1" w:styleId="11">
    <w:name w:val="spyx_bszn_icon2"/>
    <w:basedOn w:val="3"/>
    <w:qFormat/>
    <w:uiPriority w:val="0"/>
  </w:style>
  <w:style w:type="character" w:customStyle="1" w:styleId="12">
    <w:name w:val="spyx_bszn_icon3"/>
    <w:basedOn w:val="3"/>
    <w:qFormat/>
    <w:uiPriority w:val="0"/>
  </w:style>
  <w:style w:type="character" w:customStyle="1" w:styleId="13">
    <w:name w:val="spyx_bszn_icon4"/>
    <w:basedOn w:val="3"/>
    <w:qFormat/>
    <w:uiPriority w:val="0"/>
  </w:style>
  <w:style w:type="character" w:customStyle="1" w:styleId="14">
    <w:name w:val="spyx_bszn_icon62"/>
    <w:basedOn w:val="3"/>
    <w:uiPriority w:val="0"/>
  </w:style>
  <w:style w:type="character" w:customStyle="1" w:styleId="15">
    <w:name w:val="icon2"/>
    <w:basedOn w:val="3"/>
    <w:uiPriority w:val="0"/>
  </w:style>
  <w:style w:type="character" w:customStyle="1" w:styleId="16">
    <w:name w:val="wz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2017-08-01T06:26:12Z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