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560"/>
        <w:jc w:val="left"/>
      </w:pPr>
      <w:r>
        <w:rPr>
          <w:b/>
          <w:color w:val="333333"/>
          <w:sz w:val="30"/>
          <w:szCs w:val="30"/>
        </w:rPr>
        <w:t>招聘岗位和数量</w:t>
      </w:r>
    </w:p>
    <w:tbl>
      <w:tblPr>
        <w:tblW w:w="8818" w:type="dxa"/>
        <w:jc w:val="center"/>
        <w:tblInd w:w="-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00"/>
        <w:gridCol w:w="720"/>
        <w:gridCol w:w="900"/>
        <w:gridCol w:w="900"/>
        <w:gridCol w:w="1620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所需专业要求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主治医生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全日制普通高校，同时须具有主治医师资格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全日制普通高校，其中2015届及之前历届生须具备执业医师资格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儿科医生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全日制普通高校，其中2015届及之前历届生须具备执业医师资格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B超医生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临床医学、医学影像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全日制普通高校，其中2015届及之前历届生须具备执业医师资格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C565E"/>
    <w:rsid w:val="7B8C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2017-08-01T04:31:00Z</dcterms:created>
  <dc:creator>ASUS</dc:creator>
  <cp:lastModifiedBy>ASUS</cp:lastModifiedBy>
  <dcterms:modified xsi:type="dcterms:W3CDTF">2017-08-01T04:31:58Z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