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30" w:lineRule="atLeast"/>
        <w:ind w:left="0" w:right="0"/>
      </w:pPr>
      <w:r>
        <w:rPr>
          <w:rStyle w:val="4"/>
          <w:rFonts w:ascii="微软雅黑" w:hAnsi="微软雅黑" w:eastAsia="微软雅黑" w:cs="微软雅黑"/>
          <w:color w:val="333333"/>
          <w:sz w:val="21"/>
          <w:szCs w:val="21"/>
        </w:rPr>
        <w:t>招聘岗位及要求</w:t>
      </w:r>
    </w:p>
    <w:tbl>
      <w:tblPr>
        <w:tblW w:w="8393" w:type="dxa"/>
        <w:jc w:val="center"/>
        <w:tblInd w:w="6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1440"/>
        <w:gridCol w:w="569"/>
        <w:gridCol w:w="1040"/>
        <w:gridCol w:w="1040"/>
        <w:gridCol w:w="35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Header/>
          <w:jc w:val="center"/>
        </w:trPr>
        <w:tc>
          <w:tcPr>
            <w:tcW w:w="7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5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报考条件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Header/>
          <w:jc w:val="center"/>
        </w:trPr>
        <w:tc>
          <w:tcPr>
            <w:tcW w:w="7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儿内科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内科学（心血管病、呼吸系病、消化系病、神经内科方向），临床医学（急救医学、重症医学、心血管病、呼吸系病、神经内科方向）、急诊医学、重症医学，神经病学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儿科学，新生儿科学，临床医学（儿科学、新生儿科学、儿内科方向）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小儿外科（普外）、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  </w:t>
            </w: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新生儿外科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外科学（儿外科、普通外科、泌尿外科方向）、临床医学（儿外科、普通外科、泌尿外科方向）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内科学（肿瘤内科方向）、临床医学（肿瘤内科方向）、肿瘤学（肿瘤内科方向）、肿瘤学（生物治疗或放射治疗或肿瘤免疫方向）、临床医学（生物治疗或放射治疗或肿瘤免疫方向）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内科学（血液病学方向）、临床医学（血液病学方向）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小儿外科（骨外）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外科学（骨外科方向、小儿骨外科方向）、临床医学（骨外科方向）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小儿外科（胸心外）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外科学（胸心外科方向、小儿胸心外科方向）、临床医学（胸心外科方向）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小儿外科（神经外）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外科学（神经外科方向、小儿神经外科方向）、临床医学（神经外科方向）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影像科、超声科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检验类技师（检验科、输血科、各中心实验室）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临床检验诊断学、遗传学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7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139CD"/>
    <w:rsid w:val="6118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C6B6B"/>
      <w:u w:val="singl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2017-07-27T05:09:01Z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