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6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招聘岗位和指标</w:t>
      </w:r>
    </w:p>
    <w:tbl>
      <w:tblPr>
        <w:tblW w:w="8082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7"/>
        <w:gridCol w:w="1262"/>
        <w:gridCol w:w="1742"/>
        <w:gridCol w:w="1262"/>
        <w:gridCol w:w="1502"/>
        <w:gridCol w:w="5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招聘单位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招聘岗位</w:t>
            </w:r>
          </w:p>
        </w:tc>
        <w:tc>
          <w:tcPr>
            <w:tcW w:w="1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所需专业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学历要求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计划招录人数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北仑区人民医院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分子实验室</w:t>
            </w:r>
          </w:p>
        </w:tc>
        <w:tc>
          <w:tcPr>
            <w:tcW w:w="1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临床检验诊断学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博士研究生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应届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978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000A5"/>
    <w:rsid w:val="616000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2017-07-10T13:18:00Z</dcterms:created>
  <dc:creator>ASUS</dc:creator>
  <cp:lastModifiedBy>ASUS</cp:lastModifiedBy>
  <dcterms:modified xsi:type="dcterms:W3CDTF">2017-07-10T13:18:23Z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