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40" w:lineRule="atLeast"/>
        <w:ind w:left="0" w:right="0" w:firstLine="1285"/>
        <w:jc w:val="both"/>
        <w:textAlignment w:val="bottom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承办院校及招生</w:t>
      </w:r>
      <w:r>
        <w:rPr>
          <w:rFonts w:hint="default" w:ascii="仿宋_GB2312" w:hAnsi="Times New Roman" w:eastAsia="仿宋_GB2312" w:cs="仿宋_GB2312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(招聘)计划</w:t>
      </w:r>
    </w:p>
    <w:tbl>
      <w:tblPr>
        <w:tblW w:w="9540" w:type="dxa"/>
        <w:tblInd w:w="2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DAF3F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0"/>
        <w:gridCol w:w="270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DAF3F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招生院校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招生（招聘）专业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学制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温州医科大学仁济学院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五年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浙江中医药大学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预防医学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五年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浙江中医药大学滨江学院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中医学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五年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合  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AF3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40" w:lineRule="atLeast"/>
              <w:ind w:left="0" w:right="0" w:firstLine="200"/>
              <w:jc w:val="both"/>
              <w:textAlignment w:val="bottom"/>
              <w:rPr>
                <w:rFonts w:hint="default" w:ascii="Times New Roman" w:hAnsi="Times New Roman" w:cs="Times New Roman"/>
                <w:b w:val="0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B5DAD"/>
    <w:rsid w:val="1F8B5D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2017-06-27T03:05:00Z</dcterms:created>
  <dc:creator>ASUS</dc:creator>
  <cp:lastModifiedBy>ASUS</cp:lastModifiedBy>
  <dcterms:modified xsi:type="dcterms:W3CDTF">2017-06-27T03:05:26Z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