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Style w:val="4"/>
          <w:rFonts w:hint="default" w:ascii="Times New Roman" w:hAnsi="Times New Roman" w:cs="Times New Roman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河南省直第三人民医院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18"/>
          <w:szCs w:val="18"/>
        </w:rPr>
      </w:pPr>
      <w:bookmarkStart w:id="0" w:name="_GoBack"/>
      <w:r>
        <w:rPr>
          <w:rStyle w:val="4"/>
          <w:rFonts w:hint="default" w:ascii="Times New Roman" w:hAnsi="Times New Roman" w:cs="Times New Roman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2017年公开招聘岗位一览表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8306" w:type="dxa"/>
        <w:jc w:val="center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1156"/>
        <w:gridCol w:w="1632"/>
        <w:gridCol w:w="754"/>
        <w:gridCol w:w="2583"/>
        <w:gridCol w:w="1142"/>
        <w:gridCol w:w="24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797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156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63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sz w:val="24"/>
                <w:szCs w:val="24"/>
                <w:bdr w:val="none" w:color="auto" w:sz="0" w:space="0"/>
              </w:rPr>
              <w:t>招聘专业</w:t>
            </w:r>
          </w:p>
        </w:tc>
        <w:tc>
          <w:tcPr>
            <w:tcW w:w="75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258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114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sz w:val="24"/>
                <w:szCs w:val="24"/>
                <w:bdr w:val="none" w:color="auto" w:sz="0" w:space="0"/>
              </w:rPr>
              <w:t>其他要求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79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  <w:jc w:val="center"/>
        </w:trPr>
        <w:tc>
          <w:tcPr>
            <w:tcW w:w="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16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15人</w:t>
            </w:r>
          </w:p>
        </w:tc>
        <w:tc>
          <w:tcPr>
            <w:tcW w:w="2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1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  <w:jc w:val="center"/>
        </w:trPr>
        <w:tc>
          <w:tcPr>
            <w:tcW w:w="7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16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5人</w:t>
            </w:r>
          </w:p>
        </w:tc>
        <w:tc>
          <w:tcPr>
            <w:tcW w:w="2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博士研究生</w:t>
            </w:r>
          </w:p>
        </w:tc>
        <w:tc>
          <w:tcPr>
            <w:tcW w:w="114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8C3E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2017-06-27T02:42:27Z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