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FFFFF"/>
        <w:spacing w:before="0" w:beforeAutospacing="0" w:after="0" w:afterAutospacing="0" w:line="360" w:lineRule="auto"/>
        <w:ind w:left="0" w:right="0" w:firstLine="275"/>
        <w:rPr>
          <w:rFonts w:hint="eastAsia" w:ascii="宋体" w:hAnsi="宋体" w:eastAsia="宋体" w:cs="宋体"/>
          <w:sz w:val="24"/>
          <w:szCs w:val="24"/>
        </w:rPr>
      </w:pPr>
      <w:r>
        <w:rPr>
          <w:rFonts w:hint="eastAsia" w:ascii="宋体" w:hAnsi="宋体" w:eastAsia="宋体" w:cs="宋体"/>
          <w:b/>
          <w:sz w:val="28"/>
          <w:szCs w:val="28"/>
          <w:shd w:val="clear" w:fill="FFFFFF"/>
        </w:rPr>
        <w:t>附件1：河南护理职业学院2017年公开工作人员一览表</w:t>
      </w:r>
    </w:p>
    <w:tbl>
      <w:tblPr>
        <w:tblW w:w="804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368"/>
        <w:gridCol w:w="1274"/>
        <w:gridCol w:w="3403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</w:trPr>
        <w:tc>
          <w:tcPr>
            <w:tcW w:w="336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专业</w:t>
            </w:r>
          </w:p>
        </w:tc>
        <w:tc>
          <w:tcPr>
            <w:tcW w:w="127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人数</w:t>
            </w:r>
          </w:p>
        </w:tc>
        <w:tc>
          <w:tcPr>
            <w:tcW w:w="340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36" w:hRule="atLeast"/>
        </w:trPr>
        <w:tc>
          <w:tcPr>
            <w:tcW w:w="3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护理学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6</w:t>
            </w:r>
          </w:p>
        </w:tc>
        <w:tc>
          <w:tcPr>
            <w:tcW w:w="3403" w:type="dxa"/>
            <w:vMerge w:val="restart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360" w:right="0" w:hanging="36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1．2016年、2017年毕业的全日制普通高等教育研究生，2017年7月底以前取得研究生学历及硕士或博士学位。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360" w:right="0" w:hanging="360"/>
              <w:jc w:val="left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2．年龄要求1982年1月1日以后出生。博士可适当放宽。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3" w:hRule="atLeast"/>
        </w:trPr>
        <w:tc>
          <w:tcPr>
            <w:tcW w:w="3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口腔医学（临床或基础）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1</w:t>
            </w:r>
          </w:p>
        </w:tc>
        <w:tc>
          <w:tcPr>
            <w:tcW w:w="34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67" w:hRule="atLeast"/>
        </w:trPr>
        <w:tc>
          <w:tcPr>
            <w:tcW w:w="3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人体解剖和组织胚胎学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（基础医学人体解剖和组织胚胎学方向）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34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5" w:hRule="atLeast"/>
        </w:trPr>
        <w:tc>
          <w:tcPr>
            <w:tcW w:w="336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生理学（基础医学生理学方向）</w:t>
            </w:r>
          </w:p>
        </w:tc>
        <w:tc>
          <w:tcPr>
            <w:tcW w:w="127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center"/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  <w:r>
              <w:rPr>
                <w:rFonts w:hint="eastAsia" w:ascii="微软雅黑" w:hAnsi="微软雅黑" w:eastAsia="微软雅黑" w:cs="微软雅黑"/>
                <w:sz w:val="24"/>
                <w:szCs w:val="24"/>
              </w:rPr>
              <w:t>2</w:t>
            </w:r>
          </w:p>
        </w:tc>
        <w:tc>
          <w:tcPr>
            <w:tcW w:w="3403" w:type="dxa"/>
            <w:vMerge w:val="continue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/>
            <w:tcMar>
              <w:left w:w="108" w:type="dxa"/>
              <w:right w:w="108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spacing w:before="0" w:beforeAutospacing="0" w:after="0" w:afterAutospacing="0" w:line="480" w:lineRule="auto"/>
        <w:ind w:left="0" w:right="0"/>
        <w:jc w:val="both"/>
        <w:rPr>
          <w:rFonts w:hint="default" w:ascii="Times New Roman" w:hAnsi="Times New Roman" w:cs="Times New Roman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4"/>
          <w:szCs w:val="24"/>
        </w:rPr>
        <w:t> </w:t>
      </w:r>
      <w:r>
        <w:rPr>
          <w:rFonts w:hint="eastAsia" w:ascii="微软雅黑" w:hAnsi="微软雅黑" w:eastAsia="微软雅黑" w:cs="微软雅黑"/>
          <w:b/>
          <w:sz w:val="24"/>
          <w:szCs w:val="24"/>
        </w:rPr>
        <w:t xml:space="preserve"> 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67E2437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Office_10.1.0.6554_F1E327BC-269C-435d-A152-05C5408002CA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2017-06-23T05:46:04Z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2052-10.1.0.6554</vt:lpwstr>
  </property>
</Properties>
</file>