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1100" w:lineRule="exact"/>
        <w:rPr>
          <w:rFonts w:ascii="华文中宋" w:hAnsi="华文中宋" w:eastAsia="华文中宋"/>
          <w:spacing w:val="-18"/>
          <w:w w:val="45"/>
          <w:sz w:val="84"/>
          <w:szCs w:val="84"/>
        </w:rPr>
      </w:pPr>
    </w:p>
    <w:p>
      <w:pPr>
        <w:spacing w:line="1100" w:lineRule="exact"/>
        <w:rPr>
          <w:rFonts w:ascii="方正小标宋简体" w:hAnsi="华文中宋" w:eastAsia="方正小标宋简体"/>
          <w:spacing w:val="-11"/>
          <w:w w:val="66"/>
          <w:sz w:val="84"/>
          <w:szCs w:val="84"/>
        </w:rPr>
      </w:pPr>
      <w:r>
        <w:rPr>
          <w:rFonts w:ascii="方正小标宋简体" w:hAnsi="华文中宋" w:eastAsia="方正小标宋简体"/>
          <w:spacing w:val="-11"/>
          <w:w w:val="66"/>
          <w:sz w:val="84"/>
          <w:szCs w:val="84"/>
        </w:rPr>
        <w:t>中 共 酒 泉 市 委 组 织 部</w:t>
      </w:r>
    </w:p>
    <w:tbl>
      <w:tblPr>
        <w:tblStyle w:val="10"/>
        <w:tblpPr w:leftFromText="180" w:rightFromText="180" w:vertAnchor="page" w:horzAnchor="page" w:tblpX="8957" w:tblpY="4734"/>
        <w:tblOverlap w:val="never"/>
        <w:tblW w:w="1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60" w:hRule="atLeast"/>
        </w:trPr>
        <w:tc>
          <w:tcPr>
            <w:tcW w:w="1905" w:type="dxa"/>
            <w:tcBorders>
              <w:top w:val="nil"/>
              <w:left w:val="nil"/>
              <w:bottom w:val="nil"/>
              <w:right w:val="nil"/>
            </w:tcBorders>
          </w:tcPr>
          <w:p>
            <w:pPr>
              <w:spacing w:line="1100" w:lineRule="exact"/>
              <w:rPr>
                <w:rFonts w:ascii="方正小标宋简体" w:hAnsi="华文中宋" w:eastAsia="方正小标宋简体"/>
                <w:spacing w:val="148"/>
                <w:w w:val="66"/>
                <w:sz w:val="84"/>
                <w:szCs w:val="84"/>
              </w:rPr>
            </w:pPr>
            <w:r>
              <w:rPr>
                <w:rFonts w:hint="eastAsia" w:ascii="方正小标宋简体" w:hAnsi="华文中宋" w:eastAsia="方正小标宋简体"/>
                <w:sz w:val="84"/>
                <w:szCs w:val="84"/>
              </w:rPr>
              <w:t>文件</w:t>
            </w:r>
          </w:p>
        </w:tc>
      </w:tr>
    </w:tbl>
    <w:p>
      <w:pPr>
        <w:spacing w:line="1100" w:lineRule="exact"/>
        <w:rPr>
          <w:rFonts w:ascii="方正小标宋简体" w:hAnsi="华文中宋" w:eastAsia="方正小标宋简体"/>
          <w:spacing w:val="42"/>
          <w:w w:val="66"/>
          <w:sz w:val="84"/>
          <w:szCs w:val="84"/>
        </w:rPr>
      </w:pPr>
      <w:r>
        <w:rPr>
          <w:rFonts w:hint="eastAsia" w:ascii="方正小标宋简体" w:hAnsi="华文中宋" w:eastAsia="方正小标宋简体"/>
          <w:spacing w:val="-11"/>
          <w:w w:val="66"/>
          <w:sz w:val="84"/>
          <w:szCs w:val="84"/>
        </w:rPr>
        <w:t>酒泉市卫生和计划生育委员会酒   泉  市   财   政   局</w:t>
      </w:r>
    </w:p>
    <w:p>
      <w:pPr>
        <w:spacing w:line="1100" w:lineRule="exact"/>
        <w:rPr>
          <w:rFonts w:ascii="方正小标宋简体" w:hAnsi="华文中宋" w:eastAsia="方正小标宋简体"/>
          <w:spacing w:val="76"/>
          <w:w w:val="66"/>
          <w:sz w:val="84"/>
          <w:szCs w:val="84"/>
        </w:rPr>
      </w:pPr>
      <w:r>
        <w:rPr>
          <w:rFonts w:hint="eastAsia" w:ascii="方正小标宋简体" w:hAnsi="华文中宋" w:eastAsia="方正小标宋简体"/>
          <w:spacing w:val="-11"/>
          <w:w w:val="66"/>
          <w:sz w:val="84"/>
          <w:szCs w:val="84"/>
        </w:rPr>
        <w:t>酒泉市人力资源和社会保障局</w:t>
      </w:r>
    </w:p>
    <w:p>
      <w:pPr>
        <w:spacing w:line="600" w:lineRule="exact"/>
        <w:rPr>
          <w:rFonts w:ascii="仿宋_GB2312" w:hAnsi="华文中宋" w:eastAsia="仿宋_GB2312"/>
          <w:sz w:val="32"/>
          <w:szCs w:val="32"/>
        </w:rPr>
      </w:pPr>
    </w:p>
    <w:p>
      <w:pPr>
        <w:spacing w:line="600" w:lineRule="exact"/>
        <w:jc w:val="center"/>
        <w:rPr>
          <w:rFonts w:hint="eastAsia" w:ascii="楷体" w:hAnsi="楷体" w:eastAsia="楷体"/>
          <w:sz w:val="32"/>
          <w:szCs w:val="32"/>
        </w:rPr>
      </w:pPr>
      <w:r>
        <w:rPr>
          <w:rFonts w:hint="eastAsia" w:ascii="楷体" w:hAnsi="楷体" w:eastAsia="楷体"/>
          <w:sz w:val="32"/>
          <w:szCs w:val="32"/>
        </w:rPr>
        <w:t>酒卫发〔2016〕</w:t>
      </w:r>
      <w:r>
        <w:rPr>
          <w:rFonts w:hint="eastAsia" w:ascii="楷体" w:hAnsi="楷体" w:eastAsia="楷体"/>
          <w:sz w:val="32"/>
          <w:szCs w:val="32"/>
          <w:lang w:val="en-US" w:eastAsia="zh-CN"/>
        </w:rPr>
        <w:t>134</w:t>
      </w:r>
      <w:r>
        <w:rPr>
          <w:rFonts w:hint="eastAsia" w:ascii="楷体" w:hAnsi="楷体" w:eastAsia="楷体"/>
          <w:sz w:val="32"/>
          <w:szCs w:val="32"/>
        </w:rPr>
        <w:t>号</w:t>
      </w:r>
    </w:p>
    <w:tbl>
      <w:tblPr>
        <w:tblStyle w:val="10"/>
        <w:tblpPr w:leftFromText="180" w:rightFromText="180" w:vertAnchor="text" w:horzAnchor="page" w:tblpX="1736" w:tblpY="268"/>
        <w:tblOverlap w:val="never"/>
        <w:tblW w:w="8700"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70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241" w:hRule="atLeast"/>
        </w:trPr>
        <w:tc>
          <w:tcPr>
            <w:tcW w:w="8700" w:type="dxa"/>
            <w:tcBorders>
              <w:left w:val="nil"/>
              <w:bottom w:val="nil"/>
              <w:right w:val="nil"/>
            </w:tcBorders>
          </w:tcPr>
          <w:p>
            <w:pPr>
              <w:spacing w:line="640" w:lineRule="exact"/>
              <w:jc w:val="center"/>
              <w:rPr>
                <w:rFonts w:ascii="方正小标宋简体" w:hAnsi="华文中宋" w:eastAsia="方正小标宋简体"/>
                <w:szCs w:val="21"/>
              </w:rPr>
            </w:pPr>
          </w:p>
        </w:tc>
      </w:tr>
    </w:tbl>
    <w:p>
      <w:pPr>
        <w:pStyle w:val="12"/>
        <w:keepNext w:val="0"/>
        <w:keepLines w:val="0"/>
        <w:pageBreakBefore w:val="0"/>
        <w:widowControl w:val="0"/>
        <w:kinsoku/>
        <w:wordWrap/>
        <w:overflowPunct/>
        <w:topLinePunct w:val="0"/>
        <w:autoSpaceDE/>
        <w:autoSpaceDN w:val="0"/>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关于开展全市第三批四级中医药师承教育</w:t>
      </w:r>
    </w:p>
    <w:p>
      <w:pPr>
        <w:pStyle w:val="12"/>
        <w:keepNext w:val="0"/>
        <w:keepLines w:val="0"/>
        <w:pageBreakBefore w:val="0"/>
        <w:widowControl w:val="0"/>
        <w:kinsoku/>
        <w:wordWrap/>
        <w:overflowPunct/>
        <w:topLinePunct w:val="0"/>
        <w:autoSpaceDE/>
        <w:autoSpaceDN w:val="0"/>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工作的通</w:t>
      </w:r>
      <w:r>
        <w:rPr>
          <w:rFonts w:hint="eastAsia" w:ascii="方正小标宋简体" w:hAnsi="方正小标宋简体" w:eastAsia="方正小标宋简体" w:cs="方正小标宋简体"/>
          <w:sz w:val="44"/>
          <w:szCs w:val="44"/>
        </w:rPr>
        <w:t>知</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jc w:val="both"/>
        <w:textAlignment w:val="auto"/>
        <w:rPr>
          <w:rFonts w:hint="eastAsia" w:ascii="仿宋" w:hAnsi="仿宋" w:eastAsia="仿宋"/>
          <w:sz w:val="32"/>
          <w:szCs w:val="32"/>
        </w:rPr>
      </w:pP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jc w:val="both"/>
        <w:textAlignment w:val="auto"/>
        <w:outlineLvl w:val="9"/>
        <w:rPr>
          <w:rFonts w:hint="eastAsia" w:ascii="仿宋" w:hAnsi="仿宋" w:eastAsia="仿宋"/>
          <w:sz w:val="32"/>
          <w:szCs w:val="32"/>
        </w:rPr>
      </w:pPr>
      <w:r>
        <w:rPr>
          <w:rFonts w:hint="eastAsia" w:ascii="仿宋" w:hAnsi="仿宋" w:eastAsia="仿宋"/>
          <w:sz w:val="32"/>
          <w:szCs w:val="32"/>
          <w:lang w:val="en-US" w:eastAsia="zh-CN"/>
        </w:rPr>
        <w:t>各县（市、区）卫生局，酒泉市医院、酒泉市中医院</w:t>
      </w:r>
      <w:r>
        <w:rPr>
          <w:rFonts w:hint="eastAsia" w:ascii="仿宋" w:hAnsi="仿宋" w:eastAsia="仿宋"/>
          <w:sz w:val="32"/>
          <w:szCs w:val="32"/>
        </w:rPr>
        <w:t>：</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sectPr>
          <w:footerReference r:id="rId3" w:type="default"/>
          <w:footerReference r:id="rId4" w:type="even"/>
          <w:pgSz w:w="11906" w:h="16838"/>
          <w:pgMar w:top="2098" w:right="1588" w:bottom="1985" w:left="1588" w:header="851" w:footer="992" w:gutter="0"/>
          <w:pgNumType w:fmt="numberInDash"/>
          <w:cols w:space="720" w:num="1"/>
          <w:titlePg/>
          <w:docGrid w:type="lines" w:linePitch="312" w:charSpace="0"/>
        </w:sectPr>
      </w:pPr>
      <w:r>
        <w:rPr>
          <w:rFonts w:hint="eastAsia" w:ascii="仿宋" w:hAnsi="仿宋" w:eastAsia="仿宋"/>
          <w:sz w:val="32"/>
          <w:szCs w:val="32"/>
          <w:lang w:eastAsia="zh-CN"/>
        </w:rPr>
        <w:t>根据省委组织部、省卫生计生委、省财政厅、省人社厅《关于开展第三批全省五级中医药师承教育工作的通知》（甘卫发〔201</w:t>
      </w:r>
      <w:r>
        <w:rPr>
          <w:rFonts w:hint="eastAsia" w:ascii="仿宋" w:hAnsi="仿宋" w:eastAsia="仿宋"/>
          <w:sz w:val="32"/>
          <w:szCs w:val="32"/>
          <w:lang w:val="en-US" w:eastAsia="zh-CN"/>
        </w:rPr>
        <w:t>7</w:t>
      </w:r>
      <w:r>
        <w:rPr>
          <w:rFonts w:hint="eastAsia" w:ascii="仿宋" w:hAnsi="仿宋" w:eastAsia="仿宋"/>
          <w:sz w:val="32"/>
          <w:szCs w:val="32"/>
          <w:lang w:eastAsia="zh-CN"/>
        </w:rPr>
        <w:t>〕46号）要求，为切实加强我市中医药人才队伍建设，提升中医药人才队伍的数量和质量，结合我市实际，经研究决</w:t>
      </w:r>
    </w:p>
    <w:p>
      <w:pPr>
        <w:pStyle w:val="12"/>
        <w:keepNext w:val="0"/>
        <w:keepLines w:val="0"/>
        <w:pageBreakBefore w:val="0"/>
        <w:widowControl w:val="0"/>
        <w:kinsoku/>
        <w:wordWrap/>
        <w:overflowPunct/>
        <w:topLinePunct w:val="0"/>
        <w:autoSpaceDE/>
        <w:autoSpaceDN w:val="0"/>
        <w:bidi w:val="0"/>
        <w:adjustRightInd/>
        <w:snapToGrid/>
        <w:spacing w:line="560" w:lineRule="exact"/>
        <w:ind w:right="0" w:rightChars="0"/>
        <w:jc w:val="both"/>
        <w:textAlignment w:val="auto"/>
        <w:outlineLvl w:val="9"/>
        <w:rPr>
          <w:rFonts w:hint="eastAsia" w:ascii="仿宋" w:hAnsi="仿宋" w:eastAsia="仿宋"/>
          <w:sz w:val="32"/>
          <w:szCs w:val="32"/>
          <w:lang w:eastAsia="zh-CN"/>
        </w:rPr>
      </w:pPr>
      <w:bookmarkStart w:id="0" w:name="_GoBack"/>
      <w:bookmarkEnd w:id="0"/>
      <w:r>
        <w:rPr>
          <w:rFonts w:hint="eastAsia" w:ascii="仿宋" w:hAnsi="仿宋" w:eastAsia="仿宋"/>
          <w:sz w:val="32"/>
          <w:szCs w:val="32"/>
          <w:lang w:eastAsia="zh-CN"/>
        </w:rPr>
        <w:t>定，开展第三批全市五级中医药师承教育工作（以下简称“五级师承”），现将有关事宜通知如下：</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lang w:eastAsia="zh-CN"/>
        </w:rPr>
        <w:t>指导老师和继承人的确定</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1.师承教育</w:t>
      </w:r>
      <w:r>
        <w:rPr>
          <w:rFonts w:hint="eastAsia" w:ascii="仿宋" w:hAnsi="仿宋" w:eastAsia="仿宋"/>
          <w:sz w:val="32"/>
          <w:szCs w:val="32"/>
          <w:lang w:eastAsia="zh-CN"/>
        </w:rPr>
        <w:t>指导老师遴选</w:t>
      </w:r>
      <w:r>
        <w:rPr>
          <w:rFonts w:hint="eastAsia" w:ascii="仿宋" w:hAnsi="仿宋" w:eastAsia="仿宋"/>
          <w:sz w:val="32"/>
          <w:szCs w:val="32"/>
          <w:lang w:val="en-US" w:eastAsia="zh-CN"/>
        </w:rPr>
        <w:t>名额分配见（附件1），每位指导老师带教3名继承人。各卫生行政部门和人社部门要严格按照省厅文件要求的条件和程序进行遴选。第一批师承教育指导老师可再次遴选，</w:t>
      </w:r>
      <w:r>
        <w:rPr>
          <w:rFonts w:hint="eastAsia" w:ascii="仿宋" w:hAnsi="仿宋" w:eastAsia="仿宋"/>
          <w:sz w:val="32"/>
          <w:szCs w:val="32"/>
          <w:lang w:eastAsia="zh-CN"/>
        </w:rPr>
        <w:t>指导老师与继承人应在同一单位或同一县市区，从事专业基本对口；不允许指导老师既是市级指导老师又是县级指导老师，允许指导老师既是县级指导老师又是市级继承人，其它依此类推。第二批师承结业出师考核不合格的继承人不得参加遴选；原则上第二批师承结业出师考核合格的继承人也不得参加遴选，允许村级继承人参加乡、县、市级继承人遴选，其它依此类推。</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2.被遴选人员应填报</w:t>
      </w:r>
      <w:r>
        <w:rPr>
          <w:rFonts w:hint="eastAsia" w:ascii="仿宋" w:hAnsi="仿宋" w:eastAsia="仿宋"/>
          <w:sz w:val="32"/>
          <w:szCs w:val="32"/>
          <w:lang w:eastAsia="zh-CN"/>
        </w:rPr>
        <w:t>《全省五级中医药师承教育工作指导老师审批表》、《全省五级中医药师承教育工作继承人审批表》。市级指导老师和继承人的审批表（附件11、12）上报至市卫计委、市人社局组织评议审批，县、乡、村三级指导老师和继承人审批表上报县（市、区）卫计局、人社局组织评议审批，并将审批结果和《全省五级中医药师承教育工作指导老师基本情况表》、《全省五级中医药师承教育工作指导老师及其继承人基本情况表》以正式文件形式上报市卫计委备案。所有指导老师及其继承人的评议审批结果，由市卫计委、人社局汇总后，报省卫生计生委、人社厅审查并公布。</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lang w:eastAsia="zh-CN"/>
        </w:rPr>
        <w:t>带教跟师工作开展</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eastAsia="zh-CN"/>
        </w:rPr>
        <w:t>省卫生计生委、人社厅正式公布五级师承指导老师及其继承人的时间即为统一进岗时间，带教跟师学习时间为连续3年，</w:t>
      </w:r>
      <w:r>
        <w:rPr>
          <w:rFonts w:hint="eastAsia" w:ascii="仿宋" w:hAnsi="仿宋" w:eastAsia="仿宋"/>
          <w:sz w:val="32"/>
          <w:szCs w:val="32"/>
        </w:rPr>
        <w:t>各有关部门和单位要</w:t>
      </w:r>
      <w:r>
        <w:rPr>
          <w:rFonts w:hint="eastAsia" w:ascii="仿宋" w:hAnsi="仿宋" w:eastAsia="仿宋"/>
          <w:sz w:val="32"/>
          <w:szCs w:val="32"/>
          <w:lang w:eastAsia="zh-CN"/>
        </w:rPr>
        <w:t>严格按照文件的要求，完成各项</w:t>
      </w:r>
      <w:r>
        <w:rPr>
          <w:rFonts w:hint="eastAsia" w:ascii="仿宋" w:hAnsi="仿宋" w:eastAsia="仿宋"/>
          <w:sz w:val="32"/>
          <w:szCs w:val="32"/>
        </w:rPr>
        <w:t>中医药</w:t>
      </w:r>
      <w:r>
        <w:rPr>
          <w:rFonts w:hint="eastAsia" w:ascii="仿宋" w:hAnsi="仿宋" w:eastAsia="仿宋"/>
          <w:sz w:val="32"/>
          <w:szCs w:val="32"/>
          <w:lang w:eastAsia="zh-CN"/>
        </w:rPr>
        <w:t>师承教育</w:t>
      </w:r>
      <w:r>
        <w:rPr>
          <w:rFonts w:hint="eastAsia" w:ascii="仿宋" w:hAnsi="仿宋" w:eastAsia="仿宋"/>
          <w:sz w:val="32"/>
          <w:szCs w:val="32"/>
        </w:rPr>
        <w:t>工作</w:t>
      </w:r>
      <w:r>
        <w:rPr>
          <w:rFonts w:hint="eastAsia" w:ascii="仿宋" w:hAnsi="仿宋" w:eastAsia="仿宋"/>
          <w:sz w:val="32"/>
          <w:szCs w:val="32"/>
          <w:lang w:eastAsia="zh-CN"/>
        </w:rPr>
        <w:t>任务，并做好跟师笔记、工作月记、学习心得、临床医案、学术论文和结业论文等资料整理备案工作。</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三、管理考核</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1.</w:t>
      </w:r>
      <w:r>
        <w:rPr>
          <w:rFonts w:hint="eastAsia" w:ascii="仿宋" w:hAnsi="仿宋" w:eastAsia="仿宋"/>
          <w:sz w:val="32"/>
          <w:szCs w:val="32"/>
          <w:lang w:eastAsia="zh-CN"/>
        </w:rPr>
        <w:t>市卫计委承担市级师承的日常管理和年度考核，负责四级师承的组织、协调、指导工作，并抽查县、乡、村三级师承年度考核结果。县（市、区）卫计局承担辖区内县、乡、村三级师承的组织、协调、指导、日常管理和年度考核工作。年度考核应严格按照《全省五级中医药师承教育工作年度考核表》内容开展。</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lang w:eastAsia="zh-CN"/>
        </w:rPr>
        <w:t>带教单位负责组织签订《全省五级中医药师承教育工作教学协议书》和师承教学的日常管理，并做好平时考核（每月一次）和阶段考核（每半年一次）工作，填写《全省五级中医药师承教育工作平时考核表》、《全省五级中医药师承教育工作阶段考核表》所有相关资料存档备案。</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val="en-US" w:eastAsia="zh-CN"/>
        </w:rPr>
        <w:t>3.</w:t>
      </w:r>
      <w:r>
        <w:rPr>
          <w:rFonts w:hint="eastAsia" w:ascii="仿宋" w:hAnsi="仿宋" w:eastAsia="仿宋"/>
          <w:sz w:val="32"/>
          <w:szCs w:val="32"/>
          <w:lang w:eastAsia="zh-CN"/>
        </w:rPr>
        <w:t>各级人社局与卫生行政部门共同负责辖区内四级师承教育工作的组织、协调、指导和日常管理工作。</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lang w:eastAsia="zh-CN"/>
        </w:rPr>
        <w:t>有关要求</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jc w:val="both"/>
        <w:textAlignment w:val="auto"/>
        <w:outlineLvl w:val="9"/>
        <w:rPr>
          <w:rFonts w:hint="eastAsia" w:ascii="仿宋" w:hAnsi="仿宋" w:eastAsia="仿宋"/>
          <w:sz w:val="32"/>
          <w:szCs w:val="32"/>
          <w:lang w:val="en-US" w:eastAsia="zh-CN"/>
        </w:rPr>
      </w:pPr>
      <w:r>
        <w:rPr>
          <w:rFonts w:hint="eastAsia" w:ascii="仿宋" w:hAnsi="仿宋" w:eastAsia="仿宋"/>
          <w:sz w:val="32"/>
          <w:szCs w:val="32"/>
          <w:lang w:val="en-US" w:eastAsia="zh-CN"/>
        </w:rPr>
        <w:t>1.各有关部门和单位要高度重视师承教育工作，加大管理考核力度，确保工作实效。</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eastAsia="zh-CN"/>
        </w:rPr>
        <w:t>2.指导老师及其继承人教学津贴由带教单位统一管理使用，做到按时发放、专款专用。</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eastAsia="zh-CN"/>
        </w:rPr>
        <w:t>3.第三批师承教育工作，请</w:t>
      </w:r>
      <w:r>
        <w:rPr>
          <w:rFonts w:hint="eastAsia" w:ascii="仿宋" w:hAnsi="仿宋" w:eastAsia="仿宋"/>
          <w:sz w:val="32"/>
          <w:szCs w:val="32"/>
          <w:lang w:val="en-US" w:eastAsia="zh-CN"/>
        </w:rPr>
        <w:t>各县市区卫计局和有关单位于3月20日前，将</w:t>
      </w:r>
      <w:r>
        <w:rPr>
          <w:rFonts w:hint="eastAsia" w:ascii="仿宋" w:hAnsi="仿宋" w:eastAsia="仿宋"/>
          <w:sz w:val="32"/>
          <w:szCs w:val="32"/>
          <w:lang w:eastAsia="zh-CN"/>
        </w:rPr>
        <w:t>有关资料的电子版、纸质版，上报报市卫计委中医科。</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eastAsia="zh-CN"/>
        </w:rPr>
      </w:pPr>
      <w:r>
        <w:rPr>
          <w:rFonts w:hint="eastAsia" w:ascii="仿宋" w:hAnsi="仿宋" w:eastAsia="仿宋"/>
          <w:sz w:val="32"/>
          <w:szCs w:val="32"/>
          <w:lang w:eastAsia="zh-CN"/>
        </w:rPr>
        <w:t>未尽事宜和文件提及相关表格，请从省卫生计生委网站公文发布栏目自行下载。</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pacing w:val="-20"/>
          <w:sz w:val="32"/>
          <w:szCs w:val="32"/>
          <w:lang w:eastAsia="zh-CN"/>
        </w:rPr>
      </w:pPr>
      <w:r>
        <w:rPr>
          <w:rFonts w:hint="eastAsia" w:ascii="仿宋" w:hAnsi="仿宋" w:eastAsia="仿宋"/>
          <w:spacing w:val="-20"/>
          <w:sz w:val="32"/>
          <w:szCs w:val="32"/>
          <w:lang w:eastAsia="zh-CN"/>
        </w:rPr>
        <w:fldChar w:fldCharType="begin"/>
      </w:r>
      <w:r>
        <w:rPr>
          <w:rFonts w:ascii="仿宋" w:hAnsi="仿宋" w:eastAsia="仿宋"/>
          <w:spacing w:val="-20"/>
          <w:sz w:val="32"/>
          <w:szCs w:val="32"/>
        </w:rPr>
        <w:instrText xml:space="preserve">HYPERLINK "http://www.gsws.gov.cn/html/col3/content3_60705.html）"</w:instrText>
      </w:r>
      <w:r>
        <w:rPr>
          <w:rFonts w:hint="eastAsia" w:ascii="仿宋" w:hAnsi="仿宋" w:eastAsia="仿宋"/>
          <w:spacing w:val="-20"/>
          <w:sz w:val="32"/>
          <w:szCs w:val="32"/>
          <w:lang w:eastAsia="zh-CN"/>
        </w:rPr>
        <w:fldChar w:fldCharType="separate"/>
      </w:r>
      <w:r>
        <w:rPr>
          <w:rFonts w:hint="eastAsia" w:ascii="仿宋" w:hAnsi="仿宋" w:eastAsia="仿宋"/>
          <w:spacing w:val="-20"/>
          <w:sz w:val="32"/>
          <w:szCs w:val="32"/>
          <w:lang w:eastAsia="zh-CN"/>
        </w:rPr>
        <w:t>http://www.gsws.gov.cn/html/col3/content3_60705.html）</w:t>
      </w:r>
      <w:r>
        <w:rPr>
          <w:rFonts w:hint="eastAsia" w:ascii="仿宋" w:hAnsi="仿宋" w:eastAsia="仿宋"/>
          <w:spacing w:val="-20"/>
          <w:sz w:val="32"/>
          <w:szCs w:val="32"/>
          <w:lang w:eastAsia="zh-CN"/>
        </w:rPr>
        <w:fldChar w:fldCharType="end"/>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val="en-US" w:eastAsia="zh-CN"/>
        </w:rPr>
      </w:pPr>
      <w:r>
        <w:rPr>
          <w:rFonts w:hint="eastAsia" w:ascii="仿宋" w:hAnsi="仿宋" w:eastAsia="仿宋"/>
          <w:sz w:val="32"/>
          <w:szCs w:val="32"/>
          <w:lang w:eastAsia="zh-CN"/>
        </w:rPr>
        <w:t>联系人：郭艳丽</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王丽</w:t>
      </w:r>
      <w:r>
        <w:rPr>
          <w:rFonts w:hint="eastAsia" w:ascii="仿宋" w:hAnsi="仿宋" w:eastAsia="仿宋"/>
          <w:sz w:val="32"/>
          <w:szCs w:val="32"/>
          <w:lang w:val="en-US" w:eastAsia="zh-CN"/>
        </w:rPr>
        <w:t xml:space="preserve"> </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firstLine="640" w:firstLineChars="200"/>
        <w:jc w:val="both"/>
        <w:textAlignment w:val="auto"/>
        <w:outlineLvl w:val="9"/>
        <w:rPr>
          <w:rFonts w:hint="eastAsia" w:ascii="仿宋" w:hAnsi="仿宋" w:eastAsia="仿宋"/>
          <w:sz w:val="32"/>
          <w:szCs w:val="32"/>
          <w:lang w:val="en-US" w:eastAsia="zh-CN"/>
        </w:rPr>
      </w:pPr>
      <w:r>
        <w:rPr>
          <w:rFonts w:hint="eastAsia" w:ascii="仿宋" w:hAnsi="仿宋" w:eastAsia="仿宋"/>
          <w:sz w:val="32"/>
          <w:szCs w:val="32"/>
          <w:lang w:eastAsia="zh-CN"/>
        </w:rPr>
        <w:t>联系电话：</w:t>
      </w:r>
      <w:r>
        <w:rPr>
          <w:rFonts w:hint="eastAsia" w:ascii="仿宋" w:hAnsi="仿宋" w:eastAsia="仿宋"/>
          <w:sz w:val="32"/>
          <w:szCs w:val="32"/>
          <w:lang w:val="en-US" w:eastAsia="zh-CN"/>
        </w:rPr>
        <w:t xml:space="preserve">2614179  </w:t>
      </w:r>
    </w:p>
    <w:p>
      <w:pPr>
        <w:pStyle w:val="12"/>
        <w:keepNext w:val="0"/>
        <w:keepLines w:val="0"/>
        <w:pageBreakBefore w:val="0"/>
        <w:widowControl w:val="0"/>
        <w:kinsoku/>
        <w:wordWrap/>
        <w:overflowPunct/>
        <w:topLinePunct w:val="0"/>
        <w:autoSpaceDE/>
        <w:autoSpaceDN w:val="0"/>
        <w:bidi w:val="0"/>
        <w:adjustRightInd/>
        <w:snapToGrid/>
        <w:spacing w:line="560" w:lineRule="exact"/>
        <w:ind w:left="0" w:leftChars="0" w:right="0" w:rightChars="0"/>
        <w:jc w:val="both"/>
        <w:textAlignment w:val="auto"/>
        <w:rPr>
          <w:rFonts w:hint="eastAsia" w:ascii="仿宋" w:hAnsi="仿宋" w:eastAsia="仿宋"/>
          <w:spacing w:val="-20"/>
          <w:sz w:val="32"/>
          <w:szCs w:val="32"/>
          <w:lang w:val="en-US" w:eastAsia="zh-CN"/>
        </w:rPr>
      </w:pPr>
      <w:r>
        <w:rPr>
          <w:rFonts w:hint="eastAsia" w:ascii="仿宋" w:hAnsi="仿宋" w:eastAsia="仿宋"/>
          <w:sz w:val="32"/>
          <w:szCs w:val="32"/>
          <w:lang w:val="en-US" w:eastAsia="zh-CN"/>
        </w:rPr>
        <w:t xml:space="preserve">    附件：</w:t>
      </w:r>
      <w:r>
        <w:rPr>
          <w:rFonts w:hint="eastAsia" w:ascii="仿宋" w:hAnsi="仿宋" w:eastAsia="仿宋"/>
          <w:spacing w:val="-20"/>
          <w:sz w:val="32"/>
          <w:szCs w:val="32"/>
          <w:lang w:val="en-US" w:eastAsia="zh-CN"/>
        </w:rPr>
        <w:t>酒泉市五级中医药师承教育工作指导老师名额分配表</w:t>
      </w:r>
    </w:p>
    <w:p>
      <w:pPr>
        <w:pStyle w:val="12"/>
        <w:widowControl w:val="0"/>
        <w:autoSpaceDN w:val="0"/>
        <w:spacing w:line="640" w:lineRule="exact"/>
        <w:rPr>
          <w:rFonts w:hint="eastAsia" w:ascii="仿宋" w:hAnsi="仿宋" w:eastAsia="仿宋"/>
          <w:color w:val="000000"/>
          <w:sz w:val="32"/>
          <w:szCs w:val="32"/>
        </w:rPr>
      </w:pPr>
    </w:p>
    <w:p>
      <w:pPr>
        <w:pStyle w:val="12"/>
        <w:widowControl w:val="0"/>
        <w:autoSpaceDN w:val="0"/>
        <w:spacing w:line="640" w:lineRule="exact"/>
        <w:rPr>
          <w:rFonts w:hint="eastAsia" w:ascii="仿宋" w:hAnsi="仿宋" w:eastAsia="仿宋"/>
          <w:color w:val="000000"/>
          <w:sz w:val="32"/>
          <w:szCs w:val="32"/>
        </w:rPr>
      </w:pPr>
    </w:p>
    <w:p>
      <w:pPr>
        <w:pStyle w:val="12"/>
        <w:widowControl w:val="0"/>
        <w:autoSpaceDN w:val="0"/>
        <w:spacing w:line="640" w:lineRule="exact"/>
        <w:rPr>
          <w:rFonts w:hint="eastAsia" w:ascii="仿宋" w:hAnsi="仿宋" w:eastAsia="仿宋"/>
          <w:color w:val="000000"/>
          <w:spacing w:val="-20"/>
          <w:sz w:val="32"/>
          <w:szCs w:val="32"/>
        </w:rPr>
      </w:pPr>
      <w:r>
        <w:rPr>
          <w:rFonts w:hint="eastAsia" w:ascii="仿宋" w:hAnsi="仿宋" w:eastAsia="仿宋"/>
          <w:color w:val="000000"/>
          <w:sz w:val="32"/>
          <w:szCs w:val="32"/>
        </w:rPr>
        <w:t>中共酒泉市委组织部</w:t>
      </w:r>
      <w:r>
        <w:rPr>
          <w:rFonts w:hint="eastAsia" w:ascii="仿宋" w:hAnsi="仿宋" w:eastAsia="仿宋"/>
          <w:color w:val="000000"/>
          <w:sz w:val="32"/>
          <w:szCs w:val="32"/>
          <w:lang w:val="en-US" w:eastAsia="zh-CN"/>
        </w:rPr>
        <w:t xml:space="preserve">            </w:t>
      </w:r>
      <w:r>
        <w:rPr>
          <w:rFonts w:hint="eastAsia" w:ascii="仿宋" w:hAnsi="仿宋" w:eastAsia="仿宋"/>
          <w:color w:val="000000"/>
          <w:spacing w:val="-20"/>
          <w:sz w:val="32"/>
          <w:szCs w:val="32"/>
        </w:rPr>
        <w:t xml:space="preserve">酒泉市卫生和计划生育委员会 </w:t>
      </w:r>
    </w:p>
    <w:p>
      <w:pPr>
        <w:pStyle w:val="12"/>
        <w:widowControl w:val="0"/>
        <w:autoSpaceDN w:val="0"/>
        <w:spacing w:line="640" w:lineRule="exact"/>
        <w:rPr>
          <w:rFonts w:hint="eastAsia" w:ascii="仿宋" w:hAnsi="仿宋" w:eastAsia="仿宋"/>
          <w:color w:val="000000"/>
          <w:spacing w:val="-20"/>
          <w:sz w:val="32"/>
          <w:szCs w:val="32"/>
        </w:rPr>
      </w:pPr>
    </w:p>
    <w:p>
      <w:pPr>
        <w:pStyle w:val="12"/>
        <w:widowControl w:val="0"/>
        <w:autoSpaceDN w:val="0"/>
        <w:spacing w:line="640" w:lineRule="exact"/>
        <w:rPr>
          <w:rFonts w:hint="eastAsia" w:ascii="仿宋" w:hAnsi="仿宋" w:eastAsia="仿宋"/>
          <w:color w:val="000000"/>
          <w:sz w:val="32"/>
          <w:szCs w:val="32"/>
        </w:rPr>
      </w:pPr>
    </w:p>
    <w:p>
      <w:pPr>
        <w:pStyle w:val="12"/>
        <w:widowControl w:val="0"/>
        <w:autoSpaceDN w:val="0"/>
        <w:spacing w:line="640" w:lineRule="exact"/>
        <w:rPr>
          <w:rFonts w:hint="eastAsia" w:ascii="仿宋" w:hAnsi="仿宋" w:eastAsia="仿宋"/>
          <w:color w:val="000000"/>
          <w:sz w:val="32"/>
          <w:szCs w:val="32"/>
        </w:rPr>
      </w:pPr>
    </w:p>
    <w:p>
      <w:pPr>
        <w:pStyle w:val="12"/>
        <w:widowControl w:val="0"/>
        <w:autoSpaceDN w:val="0"/>
        <w:spacing w:line="640" w:lineRule="exact"/>
        <w:rPr>
          <w:rFonts w:ascii="仿宋" w:hAnsi="仿宋" w:eastAsia="仿宋"/>
          <w:color w:val="000000"/>
          <w:spacing w:val="-10"/>
          <w:sz w:val="32"/>
          <w:szCs w:val="32"/>
        </w:rPr>
      </w:pPr>
      <w:r>
        <w:rPr>
          <w:rFonts w:hint="eastAsia" w:ascii="仿宋" w:hAnsi="仿宋" w:eastAsia="仿宋"/>
          <w:color w:val="000000"/>
          <w:sz w:val="32"/>
          <w:szCs w:val="32"/>
        </w:rPr>
        <w:t>酒</w:t>
      </w:r>
      <w:r>
        <w:rPr>
          <w:rFonts w:hint="eastAsia" w:ascii="仿宋" w:hAnsi="仿宋" w:eastAsia="仿宋"/>
          <w:color w:val="000000"/>
          <w:sz w:val="32"/>
          <w:szCs w:val="32"/>
          <w:lang w:val="en-US" w:eastAsia="zh-CN"/>
        </w:rPr>
        <w:t xml:space="preserve"> </w:t>
      </w:r>
      <w:r>
        <w:rPr>
          <w:rFonts w:hint="eastAsia" w:ascii="仿宋" w:hAnsi="仿宋" w:eastAsia="仿宋"/>
          <w:color w:val="000000"/>
          <w:sz w:val="32"/>
          <w:szCs w:val="32"/>
        </w:rPr>
        <w:t>泉</w:t>
      </w:r>
      <w:r>
        <w:rPr>
          <w:rFonts w:hint="eastAsia" w:ascii="仿宋" w:hAnsi="仿宋" w:eastAsia="仿宋"/>
          <w:color w:val="000000"/>
          <w:sz w:val="32"/>
          <w:szCs w:val="32"/>
          <w:lang w:val="en-US" w:eastAsia="zh-CN"/>
        </w:rPr>
        <w:t xml:space="preserve"> </w:t>
      </w:r>
      <w:r>
        <w:rPr>
          <w:rFonts w:hint="eastAsia" w:ascii="仿宋" w:hAnsi="仿宋" w:eastAsia="仿宋"/>
          <w:color w:val="000000"/>
          <w:sz w:val="32"/>
          <w:szCs w:val="32"/>
        </w:rPr>
        <w:t>市</w:t>
      </w:r>
      <w:r>
        <w:rPr>
          <w:rFonts w:hint="eastAsia" w:ascii="仿宋" w:hAnsi="仿宋" w:eastAsia="仿宋"/>
          <w:color w:val="000000"/>
          <w:sz w:val="32"/>
          <w:szCs w:val="32"/>
          <w:lang w:val="en-US" w:eastAsia="zh-CN"/>
        </w:rPr>
        <w:t xml:space="preserve"> 财 政 局</w:t>
      </w:r>
      <w:r>
        <w:rPr>
          <w:rFonts w:hint="eastAsia" w:ascii="仿宋" w:hAnsi="仿宋" w:eastAsia="仿宋"/>
          <w:color w:val="000000"/>
          <w:spacing w:val="20"/>
          <w:sz w:val="32"/>
          <w:szCs w:val="32"/>
        </w:rPr>
        <w:t xml:space="preserve">      </w:t>
      </w:r>
      <w:r>
        <w:rPr>
          <w:rFonts w:hint="eastAsia" w:ascii="仿宋" w:hAnsi="仿宋" w:eastAsia="仿宋"/>
          <w:color w:val="000000"/>
          <w:spacing w:val="20"/>
          <w:sz w:val="32"/>
          <w:szCs w:val="32"/>
          <w:lang w:val="en-US" w:eastAsia="zh-CN"/>
        </w:rPr>
        <w:t xml:space="preserve">    </w:t>
      </w:r>
      <w:r>
        <w:rPr>
          <w:rFonts w:hint="eastAsia" w:ascii="仿宋" w:hAnsi="仿宋" w:eastAsia="仿宋"/>
          <w:color w:val="000000"/>
          <w:spacing w:val="-10"/>
          <w:sz w:val="32"/>
          <w:szCs w:val="32"/>
        </w:rPr>
        <w:t>酒泉市人力资源和社会保障局</w:t>
      </w:r>
    </w:p>
    <w:p>
      <w:pPr>
        <w:pStyle w:val="12"/>
        <w:widowControl w:val="0"/>
        <w:autoSpaceDN w:val="0"/>
        <w:spacing w:line="640" w:lineRule="exact"/>
        <w:ind w:firstLine="5580" w:firstLineChars="1550"/>
        <w:rPr>
          <w:rFonts w:hint="eastAsia" w:ascii="仿宋" w:hAnsi="仿宋" w:eastAsia="仿宋"/>
          <w:color w:val="000000"/>
          <w:spacing w:val="20"/>
          <w:sz w:val="32"/>
          <w:szCs w:val="32"/>
        </w:rPr>
      </w:pPr>
      <w:r>
        <w:rPr>
          <w:rFonts w:hint="eastAsia" w:ascii="仿宋" w:hAnsi="仿宋" w:eastAsia="仿宋"/>
          <w:color w:val="000000"/>
          <w:spacing w:val="20"/>
          <w:sz w:val="32"/>
          <w:szCs w:val="32"/>
        </w:rPr>
        <w:t>2016年</w:t>
      </w:r>
      <w:r>
        <w:rPr>
          <w:rFonts w:hint="eastAsia" w:ascii="仿宋" w:hAnsi="仿宋" w:eastAsia="仿宋"/>
          <w:color w:val="000000"/>
          <w:spacing w:val="20"/>
          <w:sz w:val="32"/>
          <w:szCs w:val="32"/>
          <w:lang w:val="en-US" w:eastAsia="zh-CN"/>
        </w:rPr>
        <w:t>3</w:t>
      </w:r>
      <w:r>
        <w:rPr>
          <w:rFonts w:hint="eastAsia" w:ascii="仿宋" w:hAnsi="仿宋" w:eastAsia="仿宋"/>
          <w:color w:val="000000"/>
          <w:spacing w:val="20"/>
          <w:sz w:val="32"/>
          <w:szCs w:val="32"/>
        </w:rPr>
        <w:t>月</w:t>
      </w:r>
      <w:r>
        <w:rPr>
          <w:rFonts w:hint="eastAsia" w:ascii="仿宋" w:hAnsi="仿宋" w:eastAsia="仿宋"/>
          <w:color w:val="000000"/>
          <w:spacing w:val="20"/>
          <w:sz w:val="32"/>
          <w:szCs w:val="32"/>
          <w:lang w:val="en-US" w:eastAsia="zh-CN"/>
        </w:rPr>
        <w:t>17</w:t>
      </w:r>
      <w:r>
        <w:rPr>
          <w:rFonts w:hint="eastAsia" w:ascii="仿宋" w:hAnsi="仿宋" w:eastAsia="仿宋"/>
          <w:color w:val="000000"/>
          <w:spacing w:val="20"/>
          <w:sz w:val="32"/>
          <w:szCs w:val="32"/>
        </w:rPr>
        <w:t>日</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仿宋_GB2312" w:hAnsi="仿宋_GB2312" w:eastAsia="仿宋_GB2312" w:cs="仿宋_GB2312"/>
          <w:b/>
          <w:bCs/>
          <w:sz w:val="32"/>
          <w:szCs w:val="32"/>
          <w:lang w:eastAsia="zh-CN" w:bidi="ar-SA"/>
        </w:rPr>
      </w:pP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eastAsia="zh-CN" w:bidi="ar-SA"/>
        </w:rPr>
      </w:pPr>
      <w:r>
        <w:rPr>
          <w:rFonts w:hint="eastAsia" w:ascii="方正小标宋简体" w:hAnsi="方正小标宋简体" w:eastAsia="方正小标宋简体" w:cs="方正小标宋简体"/>
          <w:b w:val="0"/>
          <w:bCs w:val="0"/>
          <w:sz w:val="44"/>
          <w:szCs w:val="44"/>
          <w:lang w:eastAsia="zh-CN" w:bidi="ar-SA"/>
        </w:rPr>
        <w:t>酒泉市五级中医药师承教育工作</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napToGrid/>
          <w:color w:val="000000"/>
          <w:sz w:val="44"/>
          <w:szCs w:val="44"/>
          <w:shd w:val="clear" w:color="auto" w:fill="FFFFFF"/>
          <w:lang w:eastAsia="zh-CN" w:bidi="ar-SA"/>
        </w:rPr>
        <w:t>指导老师</w:t>
      </w:r>
      <w:r>
        <w:rPr>
          <w:rFonts w:hint="eastAsia" w:ascii="方正小标宋简体" w:hAnsi="方正小标宋简体" w:eastAsia="方正小标宋简体" w:cs="方正小标宋简体"/>
          <w:b w:val="0"/>
          <w:bCs w:val="0"/>
          <w:snapToGrid/>
          <w:color w:val="000000"/>
          <w:sz w:val="44"/>
          <w:szCs w:val="44"/>
          <w:shd w:val="clear" w:color="auto" w:fill="FFFFFF"/>
          <w:lang w:val="en-US" w:eastAsia="zh-CN" w:bidi="ar-SA"/>
        </w:rPr>
        <w:t>名额分配表</w:t>
      </w:r>
    </w:p>
    <w:p>
      <w:pPr>
        <w:keepNext w:val="0"/>
        <w:keepLines w:val="0"/>
        <w:pageBreakBefore w:val="0"/>
        <w:widowControl w:val="0"/>
        <w:kinsoku/>
        <w:wordWrap/>
        <w:overflowPunct/>
        <w:topLinePunct w:val="0"/>
        <w:autoSpaceDE/>
        <w:bidi w:val="0"/>
        <w:adjustRightInd/>
        <w:snapToGrid/>
        <w:spacing w:before="0" w:after="0" w:line="540" w:lineRule="exact"/>
        <w:ind w:left="0" w:right="0" w:firstLine="0"/>
        <w:jc w:val="center"/>
        <w:textAlignment w:val="auto"/>
        <w:outlineLvl w:val="9"/>
        <w:rPr>
          <w:rFonts w:hint="eastAsia" w:ascii="楷体_GB2312" w:eastAsia="楷体_GB2312"/>
          <w:sz w:val="32"/>
          <w:szCs w:val="32"/>
        </w:rPr>
      </w:pPr>
    </w:p>
    <w:tbl>
      <w:tblPr>
        <w:tblStyle w:val="10"/>
        <w:tblW w:w="8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1410"/>
        <w:gridCol w:w="1463"/>
        <w:gridCol w:w="1463"/>
        <w:gridCol w:w="1464"/>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32"/>
                <w:szCs w:val="32"/>
                <w:vertAlign w:val="baseline"/>
                <w:lang w:eastAsia="zh-CN"/>
              </w:rPr>
            </w:pPr>
            <w:r>
              <w:rPr>
                <w:rFonts w:hint="eastAsia" w:asciiTheme="minorEastAsia" w:hAnsiTheme="minorEastAsia" w:eastAsiaTheme="minorEastAsia" w:cstheme="minorEastAsia"/>
                <w:sz w:val="24"/>
                <w:szCs w:val="24"/>
                <w:vertAlign w:val="baseline"/>
                <w:lang w:eastAsia="zh-CN"/>
              </w:rPr>
              <w:t>单位</w:t>
            </w:r>
          </w:p>
        </w:tc>
        <w:tc>
          <w:tcPr>
            <w:tcW w:w="1410" w:type="dxa"/>
            <w:tcBorders>
              <w:tl2br w:val="nil"/>
              <w:tr2bl w:val="nil"/>
            </w:tcBorders>
            <w:vAlign w:val="center"/>
          </w:tcPr>
          <w:p>
            <w:pPr>
              <w:kinsoku/>
              <w:autoSpaceDE/>
              <w:autoSpaceDN w:val="0"/>
              <w:ind w:left="0" w:right="0" w:firstLine="0"/>
              <w:jc w:val="center"/>
              <w:textAlignment w:val="center"/>
              <w:rPr>
                <w:rFonts w:hint="eastAsia" w:asciiTheme="minorEastAsia" w:hAnsiTheme="minorEastAsia" w:eastAsiaTheme="minorEastAsia" w:cstheme="minorEastAsia"/>
                <w:sz w:val="32"/>
                <w:szCs w:val="32"/>
                <w:vertAlign w:val="baseline"/>
              </w:rPr>
            </w:pPr>
            <w:r>
              <w:rPr>
                <w:rFonts w:hint="eastAsia" w:asciiTheme="minorEastAsia" w:hAnsiTheme="minorEastAsia" w:eastAsiaTheme="minorEastAsia" w:cstheme="minorEastAsia"/>
                <w:snapToGrid/>
                <w:color w:val="000000"/>
                <w:sz w:val="24"/>
                <w:u w:val="none"/>
                <w:lang w:eastAsia="zh-CN"/>
              </w:rPr>
              <w:t>市级指导老师（名）</w:t>
            </w:r>
          </w:p>
        </w:tc>
        <w:tc>
          <w:tcPr>
            <w:tcW w:w="1463" w:type="dxa"/>
            <w:tcBorders>
              <w:tl2br w:val="nil"/>
              <w:tr2bl w:val="nil"/>
            </w:tcBorders>
            <w:vAlign w:val="center"/>
          </w:tcPr>
          <w:p>
            <w:pPr>
              <w:kinsoku/>
              <w:autoSpaceDE/>
              <w:autoSpaceDN w:val="0"/>
              <w:ind w:left="0" w:right="0" w:firstLine="0"/>
              <w:jc w:val="center"/>
              <w:textAlignment w:val="center"/>
              <w:rPr>
                <w:rFonts w:hint="eastAsia" w:asciiTheme="minorEastAsia" w:hAnsiTheme="minorEastAsia" w:eastAsiaTheme="minorEastAsia" w:cstheme="minorEastAsia"/>
                <w:sz w:val="32"/>
                <w:szCs w:val="32"/>
                <w:vertAlign w:val="baseline"/>
              </w:rPr>
            </w:pPr>
            <w:r>
              <w:rPr>
                <w:rFonts w:hint="eastAsia" w:asciiTheme="minorEastAsia" w:hAnsiTheme="minorEastAsia" w:eastAsiaTheme="minorEastAsia" w:cstheme="minorEastAsia"/>
                <w:snapToGrid/>
                <w:color w:val="000000"/>
                <w:sz w:val="24"/>
                <w:u w:val="none"/>
                <w:lang w:eastAsia="zh-CN"/>
              </w:rPr>
              <w:t>县级指导老师（名）</w:t>
            </w:r>
          </w:p>
        </w:tc>
        <w:tc>
          <w:tcPr>
            <w:tcW w:w="1463" w:type="dxa"/>
            <w:tcBorders>
              <w:tl2br w:val="nil"/>
              <w:tr2bl w:val="nil"/>
            </w:tcBorders>
            <w:vAlign w:val="center"/>
          </w:tcPr>
          <w:p>
            <w:pPr>
              <w:kinsoku/>
              <w:autoSpaceDE/>
              <w:autoSpaceDN w:val="0"/>
              <w:ind w:left="0" w:right="0" w:firstLine="0"/>
              <w:jc w:val="center"/>
              <w:textAlignment w:val="center"/>
              <w:rPr>
                <w:rFonts w:hint="eastAsia" w:asciiTheme="minorEastAsia" w:hAnsiTheme="minorEastAsia" w:eastAsiaTheme="minorEastAsia" w:cstheme="minorEastAsia"/>
                <w:sz w:val="32"/>
                <w:szCs w:val="32"/>
                <w:vertAlign w:val="baseline"/>
              </w:rPr>
            </w:pPr>
            <w:r>
              <w:rPr>
                <w:rFonts w:hint="eastAsia" w:asciiTheme="minorEastAsia" w:hAnsiTheme="minorEastAsia" w:eastAsiaTheme="minorEastAsia" w:cstheme="minorEastAsia"/>
                <w:snapToGrid/>
                <w:color w:val="000000"/>
                <w:sz w:val="24"/>
                <w:u w:val="none"/>
                <w:lang w:eastAsia="zh-CN"/>
              </w:rPr>
              <w:t>乡级指导老师（名）</w:t>
            </w:r>
          </w:p>
        </w:tc>
        <w:tc>
          <w:tcPr>
            <w:tcW w:w="1464" w:type="dxa"/>
            <w:tcBorders>
              <w:tl2br w:val="nil"/>
              <w:tr2bl w:val="nil"/>
            </w:tcBorders>
            <w:vAlign w:val="center"/>
          </w:tcPr>
          <w:p>
            <w:pPr>
              <w:kinsoku/>
              <w:autoSpaceDE/>
              <w:autoSpaceDN w:val="0"/>
              <w:ind w:left="0" w:right="0" w:firstLine="0"/>
              <w:jc w:val="center"/>
              <w:textAlignment w:val="center"/>
              <w:rPr>
                <w:rFonts w:hint="eastAsia" w:asciiTheme="minorEastAsia" w:hAnsiTheme="minorEastAsia" w:eastAsiaTheme="minorEastAsia" w:cstheme="minorEastAsia"/>
                <w:sz w:val="32"/>
                <w:szCs w:val="32"/>
                <w:vertAlign w:val="baseline"/>
              </w:rPr>
            </w:pPr>
            <w:r>
              <w:rPr>
                <w:rFonts w:hint="eastAsia" w:asciiTheme="minorEastAsia" w:hAnsiTheme="minorEastAsia" w:eastAsiaTheme="minorEastAsia" w:cstheme="minorEastAsia"/>
                <w:snapToGrid/>
                <w:color w:val="000000"/>
                <w:sz w:val="24"/>
                <w:u w:val="none"/>
                <w:lang w:eastAsia="zh-CN"/>
              </w:rPr>
              <w:t>村级指导老师（名）</w:t>
            </w:r>
          </w:p>
        </w:tc>
        <w:tc>
          <w:tcPr>
            <w:tcW w:w="1464" w:type="dxa"/>
            <w:tcBorders>
              <w:tl2br w:val="nil"/>
              <w:tr2bl w:val="nil"/>
            </w:tcBorders>
            <w:vAlign w:val="center"/>
          </w:tcPr>
          <w:p>
            <w:pPr>
              <w:kinsoku/>
              <w:autoSpaceDE/>
              <w:autoSpaceDN w:val="0"/>
              <w:ind w:left="0" w:right="0" w:firstLine="0"/>
              <w:jc w:val="center"/>
              <w:textAlignment w:val="center"/>
              <w:rPr>
                <w:rFonts w:hint="eastAsia" w:asciiTheme="minorEastAsia" w:hAnsiTheme="minorEastAsia" w:eastAsiaTheme="minorEastAsia" w:cstheme="minorEastAsia"/>
                <w:sz w:val="32"/>
                <w:szCs w:val="32"/>
                <w:vertAlign w:val="baseline"/>
              </w:rPr>
            </w:pPr>
            <w:r>
              <w:rPr>
                <w:rFonts w:hint="eastAsia" w:asciiTheme="minorEastAsia" w:hAnsiTheme="minorEastAsia" w:eastAsiaTheme="minorEastAsia" w:cstheme="minorEastAsia"/>
                <w:snapToGrid/>
                <w:color w:val="000000"/>
                <w:sz w:val="24"/>
                <w:u w:val="none"/>
                <w:lang w:eastAsia="zh-CN"/>
              </w:rPr>
              <w:t>小计（名）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肃州区</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val="en-US" w:eastAsia="zh-CN"/>
              </w:rPr>
              <w:t>2</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1</w:t>
            </w:r>
            <w:r>
              <w:rPr>
                <w:rFonts w:hint="eastAsia" w:asciiTheme="minorEastAsia" w:hAnsiTheme="minorEastAsia" w:eastAsiaTheme="minorEastAsia" w:cstheme="minorEastAsia"/>
                <w:snapToGrid/>
                <w:color w:val="auto"/>
                <w:sz w:val="24"/>
                <w:u w:val="none"/>
                <w:lang w:val="en-US" w:eastAsia="zh-CN"/>
              </w:rPr>
              <w:t>1</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2</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2</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1</w:t>
            </w:r>
            <w:r>
              <w:rPr>
                <w:rFonts w:hint="eastAsia" w:asciiTheme="minorEastAsia" w:hAnsiTheme="minorEastAsia" w:eastAsiaTheme="minorEastAsia" w:cstheme="minorEastAsia"/>
                <w:snapToGrid/>
                <w:color w:val="auto"/>
                <w:sz w:val="24"/>
                <w:u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金塔县</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eastAsia="zh-CN"/>
              </w:rPr>
              <w:t>1</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7</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3</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2</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1</w:t>
            </w:r>
            <w:r>
              <w:rPr>
                <w:rFonts w:hint="eastAsia" w:asciiTheme="minorEastAsia" w:hAnsiTheme="minorEastAsia" w:eastAsiaTheme="minorEastAsia" w:cstheme="minorEastAsia"/>
                <w:snapToGrid/>
                <w:color w:val="auto"/>
                <w:sz w:val="24"/>
                <w:u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玉门市</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val="en-US" w:eastAsia="zh-CN"/>
              </w:rPr>
              <w:t>0</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7</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3</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瓜州县</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val="en-US" w:eastAsia="zh-CN"/>
              </w:rPr>
              <w:t>0</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3</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3</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1</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color w:val="auto"/>
                <w:sz w:val="24"/>
                <w:szCs w:val="24"/>
                <w:vertAlign w:val="baseline"/>
                <w:lang w:eastAsia="zh-CN" w:bidi="ar-SA"/>
              </w:rPr>
            </w:pPr>
            <w:r>
              <w:rPr>
                <w:rFonts w:hint="eastAsia" w:asciiTheme="minorEastAsia" w:hAnsiTheme="minorEastAsia" w:eastAsiaTheme="minorEastAsia" w:cstheme="minorEastAsia"/>
                <w:color w:val="auto"/>
                <w:sz w:val="24"/>
                <w:szCs w:val="24"/>
                <w:vertAlign w:val="baseline"/>
                <w:lang w:eastAsia="zh-CN" w:bidi="ar-SA"/>
              </w:rPr>
              <w:t>敦煌市</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val="en-US" w:eastAsia="zh-CN"/>
              </w:rPr>
              <w:t>3</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8</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2</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肃北县</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eastAsia="zh-CN"/>
              </w:rPr>
              <w:t>2</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eastAsia="zh-CN"/>
              </w:rPr>
              <w:t>2</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adjustRightInd/>
              <w:snapToGrid/>
              <w:spacing w:line="560" w:lineRule="exact"/>
              <w:jc w:val="center"/>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阿克塞县</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napToGrid/>
                <w:color w:val="auto"/>
                <w:sz w:val="24"/>
                <w:u w:val="none"/>
                <w:lang w:eastAsia="zh-CN"/>
              </w:rPr>
            </w:pPr>
            <w:r>
              <w:rPr>
                <w:rFonts w:hint="eastAsia" w:asciiTheme="minorEastAsia" w:hAnsiTheme="minorEastAsia" w:eastAsiaTheme="minorEastAsia" w:cstheme="minorEastAsia"/>
                <w:snapToGrid/>
                <w:color w:val="auto"/>
                <w:sz w:val="24"/>
                <w:u w:val="none"/>
                <w:lang w:eastAsia="zh-CN"/>
              </w:rPr>
              <w:t>1</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napToGrid/>
                <w:color w:val="auto"/>
                <w:sz w:val="24"/>
                <w:u w:val="none"/>
                <w:lang w:eastAsia="zh-CN"/>
              </w:rPr>
            </w:pPr>
            <w:r>
              <w:rPr>
                <w:rFonts w:hint="eastAsia" w:asciiTheme="minorEastAsia" w:hAnsiTheme="minorEastAsia" w:eastAsiaTheme="minorEastAsia" w:cstheme="minorEastAsia"/>
                <w:snapToGrid/>
                <w:color w:val="auto"/>
                <w:sz w:val="24"/>
                <w:u w:val="none"/>
                <w:lang w:eastAsia="zh-CN"/>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napToGrid/>
                <w:color w:val="auto"/>
                <w:sz w:val="24"/>
                <w:u w:val="none"/>
                <w:lang w:eastAsia="zh-CN"/>
              </w:rPr>
            </w:pPr>
            <w:r>
              <w:rPr>
                <w:rFonts w:hint="eastAsia" w:asciiTheme="minorEastAsia" w:hAnsiTheme="minorEastAsia" w:eastAsiaTheme="minorEastAsia" w:cstheme="minorEastAsia"/>
                <w:snapToGrid/>
                <w:color w:val="auto"/>
                <w:sz w:val="24"/>
                <w:u w:val="none"/>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酒泉市医院</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eastAsia="zh-CN"/>
              </w:rPr>
              <w:t>2</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0</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酒泉市中医院</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snapToGrid/>
                <w:color w:val="auto"/>
                <w:sz w:val="24"/>
                <w:u w:val="none"/>
                <w:lang w:eastAsia="zh-CN"/>
              </w:rPr>
              <w:t>2</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bidi="ar-SA"/>
              </w:rPr>
            </w:pPr>
            <w:r>
              <w:rPr>
                <w:rFonts w:hint="eastAsia" w:asciiTheme="minorEastAsia" w:hAnsiTheme="minorEastAsia" w:eastAsiaTheme="minorEastAsia" w:cstheme="minorEastAsia"/>
                <w:snapToGrid/>
                <w:color w:val="auto"/>
                <w:sz w:val="24"/>
                <w:u w:val="none"/>
                <w:lang w:val="en-US" w:eastAsia="zh-CN"/>
              </w:rPr>
              <w:t>2</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0</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color w:val="auto"/>
                <w:sz w:val="24"/>
                <w:szCs w:val="24"/>
                <w:vertAlign w:val="baseline"/>
                <w:lang w:val="en-US" w:eastAsia="zh-CN" w:bidi="ar-SA"/>
              </w:rPr>
            </w:pPr>
            <w:r>
              <w:rPr>
                <w:rFonts w:hint="eastAsia" w:asciiTheme="minorEastAsia" w:hAnsiTheme="minorEastAsia" w:eastAsiaTheme="minorEastAsia" w:cstheme="minorEastAsia"/>
                <w:color w:val="auto"/>
                <w:sz w:val="24"/>
                <w:szCs w:val="24"/>
                <w:vertAlign w:val="baseline"/>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516" w:type="dxa"/>
            <w:tcBorders>
              <w:tl2br w:val="nil"/>
              <w:tr2bl w:val="nil"/>
            </w:tcBorders>
            <w:vAlign w:val="center"/>
          </w:tcPr>
          <w:p>
            <w:pPr>
              <w:keepNext w:val="0"/>
              <w:keepLines w:val="0"/>
              <w:pageBreakBefore w:val="0"/>
              <w:widowControl w:val="0"/>
              <w:kinsoku/>
              <w:wordWrap/>
              <w:overflowPunct/>
              <w:topLinePunct w:val="0"/>
              <w:autoSpaceDE/>
              <w:bidi w:val="0"/>
              <w:adjustRightInd/>
              <w:snapToGrid/>
              <w:spacing w:before="0" w:after="0" w:line="560" w:lineRule="exact"/>
              <w:ind w:left="0" w:right="0" w:firstLine="0"/>
              <w:jc w:val="center"/>
              <w:textAlignment w:val="auto"/>
              <w:outlineLvl w:val="9"/>
              <w:rPr>
                <w:rFonts w:hint="eastAsia" w:asciiTheme="minorEastAsia" w:hAnsiTheme="minorEastAsia" w:eastAsiaTheme="minorEastAsia" w:cstheme="minorEastAsia"/>
                <w:sz w:val="24"/>
                <w:szCs w:val="24"/>
                <w:vertAlign w:val="baseline"/>
                <w:lang w:eastAsia="zh-CN" w:bidi="ar-SA"/>
              </w:rPr>
            </w:pPr>
            <w:r>
              <w:rPr>
                <w:rFonts w:hint="eastAsia" w:asciiTheme="minorEastAsia" w:hAnsiTheme="minorEastAsia" w:eastAsiaTheme="minorEastAsia" w:cstheme="minorEastAsia"/>
                <w:sz w:val="24"/>
                <w:szCs w:val="24"/>
                <w:vertAlign w:val="baseline"/>
                <w:lang w:eastAsia="zh-CN" w:bidi="ar-SA"/>
              </w:rPr>
              <w:t>合计（名）</w:t>
            </w:r>
          </w:p>
        </w:tc>
        <w:tc>
          <w:tcPr>
            <w:tcW w:w="1410"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z w:val="24"/>
                <w:szCs w:val="24"/>
                <w:vertAlign w:val="baseline"/>
                <w:lang w:bidi="ar-SA"/>
              </w:rPr>
            </w:pPr>
            <w:r>
              <w:rPr>
                <w:rFonts w:hint="eastAsia" w:asciiTheme="minorEastAsia" w:hAnsiTheme="minorEastAsia" w:eastAsiaTheme="minorEastAsia" w:cstheme="minorEastAsia"/>
                <w:snapToGrid/>
                <w:color w:val="000000"/>
                <w:sz w:val="24"/>
                <w:u w:val="none"/>
                <w:lang w:eastAsia="zh-CN"/>
              </w:rPr>
              <w:t>10</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z w:val="24"/>
                <w:szCs w:val="24"/>
                <w:vertAlign w:val="baseline"/>
                <w:lang w:bidi="ar-SA"/>
              </w:rPr>
            </w:pPr>
            <w:r>
              <w:rPr>
                <w:rFonts w:hint="eastAsia" w:asciiTheme="minorEastAsia" w:hAnsiTheme="minorEastAsia" w:eastAsiaTheme="minorEastAsia" w:cstheme="minorEastAsia"/>
                <w:snapToGrid/>
                <w:color w:val="000000"/>
                <w:sz w:val="24"/>
                <w:u w:val="none"/>
                <w:lang w:eastAsia="zh-CN"/>
              </w:rPr>
              <w:t>40</w:t>
            </w:r>
          </w:p>
        </w:tc>
        <w:tc>
          <w:tcPr>
            <w:tcW w:w="1463"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z w:val="24"/>
                <w:szCs w:val="24"/>
                <w:vertAlign w:val="baseline"/>
                <w:lang w:bidi="ar-SA"/>
              </w:rPr>
            </w:pPr>
            <w:r>
              <w:rPr>
                <w:rFonts w:hint="eastAsia" w:asciiTheme="minorEastAsia" w:hAnsiTheme="minorEastAsia" w:eastAsiaTheme="minorEastAsia" w:cstheme="minorEastAsia"/>
                <w:snapToGrid/>
                <w:color w:val="000000"/>
                <w:sz w:val="24"/>
                <w:u w:val="none"/>
                <w:lang w:eastAsia="zh-CN"/>
              </w:rPr>
              <w:t>15</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z w:val="24"/>
                <w:szCs w:val="24"/>
                <w:vertAlign w:val="baseline"/>
                <w:lang w:bidi="ar-SA"/>
              </w:rPr>
            </w:pPr>
            <w:r>
              <w:rPr>
                <w:rFonts w:hint="eastAsia" w:asciiTheme="minorEastAsia" w:hAnsiTheme="minorEastAsia" w:eastAsiaTheme="minorEastAsia" w:cstheme="minorEastAsia"/>
                <w:snapToGrid/>
                <w:color w:val="000000"/>
                <w:sz w:val="24"/>
                <w:u w:val="none"/>
                <w:lang w:eastAsia="zh-CN"/>
              </w:rPr>
              <w:t>5</w:t>
            </w:r>
          </w:p>
        </w:tc>
        <w:tc>
          <w:tcPr>
            <w:tcW w:w="1464" w:type="dxa"/>
            <w:tcBorders>
              <w:tl2br w:val="nil"/>
              <w:tr2bl w:val="nil"/>
            </w:tcBorders>
            <w:vAlign w:val="center"/>
          </w:tcPr>
          <w:p>
            <w:pPr>
              <w:kinsoku/>
              <w:autoSpaceDE/>
              <w:autoSpaceDN w:val="0"/>
              <w:jc w:val="center"/>
              <w:textAlignment w:val="center"/>
              <w:rPr>
                <w:rFonts w:hint="eastAsia" w:asciiTheme="minorEastAsia" w:hAnsiTheme="minorEastAsia" w:eastAsiaTheme="minorEastAsia" w:cstheme="minorEastAsia"/>
                <w:sz w:val="24"/>
                <w:szCs w:val="24"/>
                <w:vertAlign w:val="baseline"/>
                <w:lang w:bidi="ar-SA"/>
              </w:rPr>
            </w:pPr>
            <w:r>
              <w:rPr>
                <w:rFonts w:hint="eastAsia" w:asciiTheme="minorEastAsia" w:hAnsiTheme="minorEastAsia" w:eastAsiaTheme="minorEastAsia" w:cstheme="minorEastAsia"/>
                <w:snapToGrid/>
                <w:color w:val="000000"/>
                <w:sz w:val="24"/>
                <w:u w:val="none"/>
                <w:lang w:eastAsia="zh-CN"/>
              </w:rPr>
              <w:t>70</w:t>
            </w:r>
          </w:p>
        </w:tc>
      </w:tr>
    </w:tbl>
    <w:p>
      <w:pPr>
        <w:pStyle w:val="12"/>
        <w:widowControl w:val="0"/>
        <w:autoSpaceDN w:val="0"/>
        <w:spacing w:line="640" w:lineRule="exact"/>
        <w:rPr>
          <w:rFonts w:hint="eastAsia" w:ascii="仿宋" w:hAnsi="仿宋" w:eastAsia="仿宋"/>
          <w:color w:val="000000"/>
          <w:spacing w:val="20"/>
          <w:sz w:val="32"/>
          <w:szCs w:val="32"/>
        </w:rPr>
      </w:pPr>
    </w:p>
    <w:sectPr>
      <w:footerReference r:id="rId6" w:type="first"/>
      <w:footerReference r:id="rId5" w:type="default"/>
      <w:pgSz w:w="11906" w:h="16838"/>
      <w:pgMar w:top="2098" w:right="1588"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fldChar w:fldCharType="begin"/>
    </w:r>
    <w:r>
      <w:rPr>
        <w:rStyle w:val="6"/>
      </w:rPr>
      <w:instrText xml:space="preserve">PAGE  </w:instrText>
    </w:r>
    <w:r>
      <w:fldChar w:fldCharType="separate"/>
    </w:r>
    <w:r>
      <w:rPr>
        <w:rStyle w:val="6"/>
      </w:rPr>
      <w:t>2</w:t>
    </w:r>
    <w:r>
      <w:fldChar w:fldCharType="end"/>
    </w: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Fonts w:ascii="仿宋" w:hAnsi="仿宋" w:eastAsia="仿宋"/>
        <w:sz w:val="28"/>
        <w:szCs w:val="28"/>
      </w:rPr>
    </w:pPr>
    <w:r>
      <w:rPr>
        <w:rFonts w:ascii="仿宋" w:hAnsi="仿宋" w:eastAsia="仿宋"/>
        <w:sz w:val="28"/>
        <w:szCs w:val="28"/>
      </w:rPr>
      <w:fldChar w:fldCharType="begin"/>
    </w:r>
    <w:r>
      <w:rPr>
        <w:rStyle w:val="6"/>
        <w:rFonts w:ascii="仿宋" w:hAnsi="仿宋" w:eastAsia="仿宋"/>
        <w:sz w:val="28"/>
        <w:szCs w:val="28"/>
      </w:rPr>
      <w:instrText xml:space="preserve">PAGE  </w:instrText>
    </w:r>
    <w:r>
      <w:rPr>
        <w:rFonts w:ascii="仿宋" w:hAnsi="仿宋" w:eastAsia="仿宋"/>
        <w:sz w:val="28"/>
        <w:szCs w:val="28"/>
      </w:rPr>
      <w:fldChar w:fldCharType="separate"/>
    </w:r>
    <w:r>
      <w:rPr>
        <w:rStyle w:val="6"/>
        <w:rFonts w:ascii="仿宋" w:hAnsi="仿宋" w:eastAsia="仿宋"/>
        <w:sz w:val="28"/>
        <w:szCs w:val="28"/>
      </w:rPr>
      <w:t>- 2 -</w:t>
    </w:r>
    <w:r>
      <w:rPr>
        <w:rFonts w:ascii="仿宋" w:hAnsi="仿宋" w:eastAsia="仿宋"/>
        <w:sz w:val="28"/>
        <w:szCs w:val="28"/>
      </w:rPr>
      <w:fldChar w:fldCharType="end"/>
    </w:r>
  </w:p>
  <w:p>
    <w:pPr>
      <w:pStyle w:val="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154266"/>
    </w:sdtPr>
    <w:sdtEndPr>
      <w:rPr>
        <w:rFonts w:ascii="仿宋" w:hAnsi="仿宋" w:eastAsia="仿宋"/>
        <w:sz w:val="28"/>
        <w:szCs w:val="28"/>
      </w:rPr>
    </w:sdtEndPr>
    <w:sdtContent>
      <w:p>
        <w:pPr>
          <w:pStyle w:val="3"/>
          <w:jc w:val="right"/>
        </w:pPr>
        <w:r>
          <w:rPr>
            <w:rFonts w:ascii="仿宋" w:hAnsi="仿宋" w:eastAsia="仿宋"/>
            <w:sz w:val="28"/>
            <w:szCs w:val="28"/>
          </w:rPr>
          <w:fldChar w:fldCharType="begin"/>
        </w:r>
        <w:r>
          <w:rPr>
            <w:rFonts w:ascii="仿宋" w:hAnsi="仿宋" w:eastAsia="仿宋"/>
            <w:sz w:val="28"/>
            <w:szCs w:val="28"/>
          </w:rPr>
          <w:instrText xml:space="preserve"> PAGE   \* MERGEFORMAT </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1 -</w:t>
        </w:r>
        <w:r>
          <w:rPr>
            <w:rFonts w:ascii="仿宋" w:hAnsi="仿宋" w:eastAsia="仿宋"/>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40134"/>
    <w:rsid w:val="000802BF"/>
    <w:rsid w:val="000A3957"/>
    <w:rsid w:val="00115EB2"/>
    <w:rsid w:val="00163C23"/>
    <w:rsid w:val="00172A27"/>
    <w:rsid w:val="001B159B"/>
    <w:rsid w:val="001F0429"/>
    <w:rsid w:val="002175B7"/>
    <w:rsid w:val="002237E0"/>
    <w:rsid w:val="002723ED"/>
    <w:rsid w:val="0029317A"/>
    <w:rsid w:val="003E44FF"/>
    <w:rsid w:val="0044005C"/>
    <w:rsid w:val="004C4F8B"/>
    <w:rsid w:val="00505129"/>
    <w:rsid w:val="00522F89"/>
    <w:rsid w:val="00537186"/>
    <w:rsid w:val="005435F6"/>
    <w:rsid w:val="00562E10"/>
    <w:rsid w:val="006E7AC1"/>
    <w:rsid w:val="00706537"/>
    <w:rsid w:val="00731258"/>
    <w:rsid w:val="00740E95"/>
    <w:rsid w:val="00742DCC"/>
    <w:rsid w:val="0076248C"/>
    <w:rsid w:val="00772193"/>
    <w:rsid w:val="007A736D"/>
    <w:rsid w:val="007D4F97"/>
    <w:rsid w:val="00841C7A"/>
    <w:rsid w:val="008A6E87"/>
    <w:rsid w:val="008B7D40"/>
    <w:rsid w:val="0096237F"/>
    <w:rsid w:val="009B1B35"/>
    <w:rsid w:val="00A15624"/>
    <w:rsid w:val="00A15926"/>
    <w:rsid w:val="00B2656E"/>
    <w:rsid w:val="00B652EC"/>
    <w:rsid w:val="00B9742A"/>
    <w:rsid w:val="00B97B0B"/>
    <w:rsid w:val="00BE5656"/>
    <w:rsid w:val="00C07592"/>
    <w:rsid w:val="00C4191B"/>
    <w:rsid w:val="00C95BED"/>
    <w:rsid w:val="00DB6887"/>
    <w:rsid w:val="00DC68B3"/>
    <w:rsid w:val="00E141AA"/>
    <w:rsid w:val="00F076FA"/>
    <w:rsid w:val="00F1347E"/>
    <w:rsid w:val="08154525"/>
    <w:rsid w:val="22CF657D"/>
    <w:rsid w:val="2B2B18B5"/>
    <w:rsid w:val="47F5186C"/>
    <w:rsid w:val="62FF370A"/>
    <w:rsid w:val="6EFB5ED4"/>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link w:val="13"/>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uiPriority w:val="0"/>
  </w:style>
  <w:style w:type="character" w:styleId="7">
    <w:name w:val="Emphasis"/>
    <w:basedOn w:val="5"/>
    <w:qFormat/>
    <w:uiPriority w:val="0"/>
    <w:rPr>
      <w:color w:val="CC0000"/>
    </w:rPr>
  </w:style>
  <w:style w:type="character" w:styleId="8">
    <w:name w:val="Hyperlink"/>
    <w:unhideWhenUsed/>
    <w:uiPriority w:val="99"/>
    <w:rPr>
      <w:color w:val="0000FF"/>
      <w:u w:val="single"/>
    </w:rPr>
  </w:style>
  <w:style w:type="character" w:styleId="9">
    <w:name w:val="HTML Cite"/>
    <w:basedOn w:val="5"/>
    <w:qFormat/>
    <w:uiPriority w:val="0"/>
    <w:rPr>
      <w:color w:val="008000"/>
    </w:rPr>
  </w:style>
  <w:style w:type="paragraph" w:customStyle="1" w:styleId="11">
    <w:name w:val="p15"/>
    <w:basedOn w:val="1"/>
    <w:qFormat/>
    <w:uiPriority w:val="0"/>
    <w:pPr>
      <w:widowControl/>
    </w:pPr>
    <w:rPr>
      <w:kern w:val="0"/>
      <w:szCs w:val="21"/>
    </w:rPr>
  </w:style>
  <w:style w:type="paragraph" w:customStyle="1" w:styleId="12">
    <w:name w:val="p0"/>
    <w:basedOn w:val="1"/>
    <w:qFormat/>
    <w:uiPriority w:val="0"/>
    <w:pPr>
      <w:widowControl/>
    </w:pPr>
    <w:rPr>
      <w:kern w:val="0"/>
      <w:szCs w:val="21"/>
    </w:rPr>
  </w:style>
  <w:style w:type="character" w:customStyle="1" w:styleId="13">
    <w:name w:val="页脚 Char"/>
    <w:basedOn w:val="5"/>
    <w:link w:val="3"/>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58</Words>
  <Characters>332</Characters>
  <Lines>2</Lines>
  <Paragraphs>1</Paragraphs>
  <ScaleCrop>false</ScaleCrop>
  <LinksUpToDate>false</LinksUpToDate>
  <CharactersWithSpaces>389</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2016-01-20T08:14:00Z</dcterms:created>
  <dc:creator>angel</dc:creator>
  <cp:lastModifiedBy>Lenovo</cp:lastModifiedBy>
  <cp:lastPrinted>2016-01-26T10:06:00Z</cp:lastPrinted>
  <dcterms:modified xsi:type="dcterms:W3CDTF">2017-03-17T09:43:49Z</dcterms:modified>
  <dc:title>（九）部分医疗机构诊疗行为不规范</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