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jc w:val="left"/>
        <w:rPr>
          <w:rFonts w:ascii="瀹嬩綋" w:hAnsi="瀹嬩綋" w:eastAsia="瀹嬩綋" w:cs="瀹嬩綋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eastAsia="瀹嬩綋" w:cs="Times New Roman"/>
          <w:b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招聘岗位</w:t>
      </w:r>
    </w:p>
    <w:tbl>
      <w:tblPr>
        <w:tblW w:w="12574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9"/>
        <w:gridCol w:w="1206"/>
        <w:gridCol w:w="969"/>
        <w:gridCol w:w="969"/>
        <w:gridCol w:w="989"/>
        <w:gridCol w:w="1458"/>
        <w:gridCol w:w="1341"/>
        <w:gridCol w:w="2162"/>
        <w:gridCol w:w="251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6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120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96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</w:t>
            </w:r>
          </w:p>
        </w:tc>
        <w:tc>
          <w:tcPr>
            <w:tcW w:w="943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所需资格条件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6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0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6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龄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中西医结合精神科医师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中医学、中医内科学、中西医结合临床</w:t>
            </w:r>
          </w:p>
        </w:tc>
        <w:tc>
          <w:tcPr>
            <w:tcW w:w="2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9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心理治疗师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应用心理学</w:t>
            </w:r>
          </w:p>
        </w:tc>
        <w:tc>
          <w:tcPr>
            <w:tcW w:w="2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1.博士须为综合类大学医学院或医学院校毕业。</w:t>
            </w: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2.本科阶段须为预防医学类、临床医学类、医学技术类、中医学类、护理学类、药学类、中药学类专业。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药学研究员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药理学、临床药学</w:t>
            </w:r>
          </w:p>
        </w:tc>
        <w:tc>
          <w:tcPr>
            <w:tcW w:w="2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遗传室研究员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限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生物化学与分子生物学、医学检验技术、医学生物技术</w:t>
            </w:r>
          </w:p>
        </w:tc>
        <w:tc>
          <w:tcPr>
            <w:tcW w:w="2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A6535"/>
    <w:rsid w:val="297A653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2017-02-22T06:59:00Z</dcterms:created>
  <dc:creator>guoqiang</dc:creator>
  <cp:lastModifiedBy>guoqiang</cp:lastModifiedBy>
  <dcterms:modified xsi:type="dcterms:W3CDTF">2017-02-22T07:01:38Z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